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E33416" w:rsidP="004A6D2F">
            <w:pPr>
              <w:rPr>
                <w:rStyle w:val="Firstpagetablebold"/>
              </w:rPr>
            </w:pPr>
            <w:r>
              <w:rPr>
                <w:rStyle w:val="Firstpagetablebold"/>
              </w:rPr>
              <w:t>Audit and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25F63" w:rsidP="00425F63">
            <w:pPr>
              <w:rPr>
                <w:b/>
              </w:rPr>
            </w:pPr>
            <w:r>
              <w:rPr>
                <w:rStyle w:val="Firstpagetablebold"/>
              </w:rPr>
              <w:t>11 April 2022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33416"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00DE8">
            <w:pPr>
              <w:rPr>
                <w:rStyle w:val="Firstpagetablebold"/>
              </w:rPr>
            </w:pPr>
            <w:r>
              <w:rPr>
                <w:rFonts w:cs="Arial"/>
                <w:b/>
                <w:bCs/>
              </w:rPr>
              <w:t xml:space="preserve">Risk Management Reporting as at </w:t>
            </w:r>
            <w:r w:rsidR="006E60B3">
              <w:rPr>
                <w:rFonts w:cs="Arial"/>
                <w:b/>
                <w:bCs/>
              </w:rPr>
              <w:t>3</w:t>
            </w:r>
            <w:r w:rsidR="002C29AC">
              <w:rPr>
                <w:rFonts w:cs="Arial"/>
                <w:b/>
                <w:bCs/>
              </w:rPr>
              <w:t xml:space="preserve">1 </w:t>
            </w:r>
            <w:r w:rsidR="00425F63">
              <w:rPr>
                <w:rFonts w:cs="Arial"/>
                <w:b/>
                <w:bCs/>
              </w:rPr>
              <w:t>March 2022</w:t>
            </w:r>
          </w:p>
        </w:tc>
      </w:tr>
    </w:tbl>
    <w:p w:rsidR="004F20EF" w:rsidRDefault="004F20EF" w:rsidP="004A6D2F"/>
    <w:p w:rsidR="00E67E2E" w:rsidRDefault="00E67E2E"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00DE8">
            <w:r w:rsidRPr="00A91CBA">
              <w:rPr>
                <w:rFonts w:cs="Arial"/>
              </w:rPr>
              <w:t xml:space="preserve">To update the Committee on both corporate and service risks as at </w:t>
            </w:r>
            <w:r w:rsidR="006B51DF">
              <w:rPr>
                <w:rFonts w:cs="Arial"/>
              </w:rPr>
              <w:t>3</w:t>
            </w:r>
            <w:r w:rsidR="002C29AC">
              <w:rPr>
                <w:rFonts w:cs="Arial"/>
              </w:rPr>
              <w:t xml:space="preserve">1 </w:t>
            </w:r>
            <w:r w:rsidR="00425F63">
              <w:rPr>
                <w:rFonts w:cs="Arial"/>
              </w:rPr>
              <w:t>March 2022</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E33416" w:rsidP="005F7F7E">
            <w:r>
              <w:t>No</w:t>
            </w:r>
          </w:p>
        </w:tc>
      </w:tr>
      <w:tr w:rsidR="00D5547E" w:rsidTr="0080749A">
        <w:tc>
          <w:tcPr>
            <w:tcW w:w="2438" w:type="dxa"/>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D5547E" w:rsidP="00E33416">
            <w:r w:rsidRPr="001356F1">
              <w:t xml:space="preserve">Councillor </w:t>
            </w:r>
            <w:r w:rsidR="00E33416">
              <w:t>Ed Turner, Cabinet Member for Finance and Asset Management</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91077C" w:rsidP="00E33416">
            <w:r>
              <w:t>All</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91077C" w:rsidP="005F7F7E">
            <w:r>
              <w:t>Council Strategy 2020-24</w:t>
            </w:r>
          </w:p>
        </w:tc>
      </w:tr>
      <w:tr w:rsidR="005F7F7E" w:rsidRPr="00975B07" w:rsidTr="00A46E98">
        <w:trPr>
          <w:trHeight w:val="413"/>
        </w:trPr>
        <w:tc>
          <w:tcPr>
            <w:tcW w:w="8845" w:type="dxa"/>
            <w:gridSpan w:val="2"/>
            <w:tcBorders>
              <w:bottom w:val="single" w:sz="8" w:space="0" w:color="000000"/>
            </w:tcBorders>
          </w:tcPr>
          <w:p w:rsidR="005F7F7E" w:rsidRPr="00975B07" w:rsidRDefault="00E33416" w:rsidP="00C0541B">
            <w:r>
              <w:rPr>
                <w:rStyle w:val="Firstpagetablebold"/>
              </w:rPr>
              <w:t>Recommendations</w:t>
            </w:r>
            <w:r w:rsidR="005F7F7E">
              <w:rPr>
                <w:rStyle w:val="Firstpagetablebold"/>
              </w:rPr>
              <w:t>:</w:t>
            </w:r>
            <w:r>
              <w:rPr>
                <w:rStyle w:val="Firstpagetablebold"/>
              </w:rPr>
              <w:t xml:space="preserve"> </w:t>
            </w:r>
            <w:r w:rsidR="00F00DE8">
              <w:rPr>
                <w:rStyle w:val="Firstpagetablebold"/>
                <w:b w:val="0"/>
              </w:rPr>
              <w:t>t</w:t>
            </w:r>
            <w:r w:rsidR="00F00DE8" w:rsidRPr="00F00DE8">
              <w:rPr>
                <w:rStyle w:val="Firstpagetablebold"/>
                <w:b w:val="0"/>
              </w:rPr>
              <w:t>hat the Committee reviews the risk management report and notes its contents</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91077C">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91077C">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 xml:space="preserve">Appendix </w:t>
            </w:r>
            <w:r w:rsidR="00F00DE8">
              <w:t>A</w:t>
            </w:r>
          </w:p>
        </w:tc>
        <w:tc>
          <w:tcPr>
            <w:tcW w:w="6406" w:type="dxa"/>
            <w:tcBorders>
              <w:top w:val="single" w:sz="8" w:space="0" w:color="000000"/>
              <w:left w:val="nil"/>
              <w:bottom w:val="single" w:sz="4" w:space="0" w:color="auto"/>
              <w:right w:val="single" w:sz="8" w:space="0" w:color="000000"/>
            </w:tcBorders>
          </w:tcPr>
          <w:p w:rsidR="00ED5860" w:rsidRPr="001356F1" w:rsidRDefault="00F00DE8" w:rsidP="00262011">
            <w:r>
              <w:rPr>
                <w:rFonts w:cs="Arial"/>
              </w:rPr>
              <w:t>Corporate Risk Register</w:t>
            </w:r>
          </w:p>
        </w:tc>
      </w:tr>
    </w:tbl>
    <w:p w:rsidR="00F00DE8" w:rsidRDefault="00F00DE8" w:rsidP="004A6D2F">
      <w:pPr>
        <w:pStyle w:val="Heading1"/>
      </w:pPr>
    </w:p>
    <w:p w:rsidR="00F00DE8" w:rsidRPr="00F00DE8" w:rsidRDefault="00F00DE8" w:rsidP="00F00DE8">
      <w:r w:rsidRPr="00F00DE8">
        <w:rPr>
          <w:b/>
        </w:rPr>
        <w:t>Risk Scoring Matrix</w:t>
      </w:r>
    </w:p>
    <w:p w:rsidR="00F00DE8" w:rsidRDefault="00F00DE8" w:rsidP="0091077C">
      <w:pPr>
        <w:pStyle w:val="bParagraphtext"/>
        <w:tabs>
          <w:tab w:val="clear" w:pos="426"/>
          <w:tab w:val="left" w:pos="709"/>
        </w:tabs>
        <w:ind w:left="567" w:hanging="567"/>
        <w:jc w:val="both"/>
      </w:pPr>
      <w:r>
        <w:t>The Council operates a ‘five by five’ scoring matrix based on probability and impact. The methodology for scoring risks is set out below along with a copy of the scoring matrix or ‘heat map’.</w:t>
      </w:r>
    </w:p>
    <w:p w:rsidR="00F00DE8" w:rsidRDefault="00F00DE8" w:rsidP="0091077C">
      <w:pPr>
        <w:pStyle w:val="bParagraphtext"/>
        <w:tabs>
          <w:tab w:val="clear" w:pos="426"/>
          <w:tab w:val="left" w:pos="709"/>
        </w:tabs>
        <w:ind w:left="567" w:hanging="567"/>
        <w:jc w:val="both"/>
      </w:pPr>
      <w:r>
        <w:t>It is possible to get the same score but end up with a different result in the heat map. For example if the probability of an event occurring is high but the impact is low it is likely to have a lower rating on the heat map. However, the higher the potential impact score the more likely the event will be classed as a red risk on the matrix.</w:t>
      </w:r>
    </w:p>
    <w:p w:rsidR="00F00DE8" w:rsidRDefault="00F00DE8" w:rsidP="0091077C">
      <w:pPr>
        <w:pStyle w:val="bParagraphtext"/>
        <w:tabs>
          <w:tab w:val="clear" w:pos="426"/>
          <w:tab w:val="left" w:pos="709"/>
        </w:tabs>
        <w:ind w:left="567" w:hanging="567"/>
        <w:jc w:val="both"/>
      </w:pPr>
      <w:r>
        <w:t>The risk prioritisation matrix is shown below.</w:t>
      </w:r>
    </w:p>
    <w:p w:rsidR="00F00DE8" w:rsidRDefault="00F00DE8" w:rsidP="00F00DE8">
      <w:pPr>
        <w:pStyle w:val="bParagraphtext"/>
        <w:numPr>
          <w:ilvl w:val="0"/>
          <w:numId w:val="0"/>
        </w:numPr>
        <w:ind w:left="426"/>
      </w:pPr>
    </w:p>
    <w:p w:rsidR="0091077C" w:rsidRDefault="0091077C" w:rsidP="00F00DE8">
      <w:pPr>
        <w:pStyle w:val="bParagraphtext"/>
        <w:numPr>
          <w:ilvl w:val="0"/>
          <w:numId w:val="0"/>
        </w:numPr>
        <w:ind w:left="426"/>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F00DE8" w:rsidRPr="00011AC6" w:rsidTr="00415D64">
        <w:trPr>
          <w:trHeight w:val="315"/>
        </w:trPr>
        <w:tc>
          <w:tcPr>
            <w:tcW w:w="1280" w:type="dxa"/>
            <w:shd w:val="clear" w:color="auto" w:fill="FFFFFF"/>
            <w:noWrap/>
            <w:vAlign w:val="center"/>
            <w:hideMark/>
          </w:tcPr>
          <w:p w:rsidR="00F00DE8" w:rsidRPr="00011AC6" w:rsidRDefault="00F00DE8" w:rsidP="00415D64">
            <w:pPr>
              <w:jc w:val="center"/>
              <w:rPr>
                <w:rFonts w:cs="Arial"/>
                <w:b/>
                <w:bCs/>
                <w:sz w:val="22"/>
                <w:szCs w:val="22"/>
              </w:rPr>
            </w:pPr>
            <w:r w:rsidRPr="00011AC6">
              <w:rPr>
                <w:rFonts w:cs="Arial"/>
                <w:b/>
                <w:bCs/>
                <w:sz w:val="22"/>
                <w:szCs w:val="22"/>
              </w:rPr>
              <w:lastRenderedPageBreak/>
              <w:t>Probability</w:t>
            </w:r>
          </w:p>
        </w:tc>
        <w:tc>
          <w:tcPr>
            <w:tcW w:w="80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r>
      <w:tr w:rsidR="00F00DE8" w:rsidRPr="00011AC6" w:rsidTr="00415D64">
        <w:trPr>
          <w:trHeight w:val="619"/>
        </w:trPr>
        <w:tc>
          <w:tcPr>
            <w:tcW w:w="1280" w:type="dxa"/>
            <w:shd w:val="clear" w:color="auto" w:fill="FFFFFF"/>
            <w:vAlign w:val="center"/>
            <w:hideMark/>
          </w:tcPr>
          <w:p w:rsidR="00F00DE8" w:rsidRPr="00011AC6" w:rsidRDefault="00F00DE8" w:rsidP="00415D64">
            <w:pPr>
              <w:jc w:val="center"/>
              <w:rPr>
                <w:rFonts w:cs="Arial"/>
              </w:rPr>
            </w:pPr>
            <w:r w:rsidRPr="00011AC6">
              <w:rPr>
                <w:rFonts w:cs="Arial"/>
              </w:rPr>
              <w:t>Almost Certain</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5</w:t>
            </w:r>
          </w:p>
        </w:tc>
        <w:tc>
          <w:tcPr>
            <w:tcW w:w="1280" w:type="dxa"/>
            <w:tcBorders>
              <w:top w:val="single" w:sz="12" w:space="0" w:color="auto"/>
              <w:left w:val="nil"/>
              <w:bottom w:val="nil"/>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c>
          <w:tcPr>
            <w:tcW w:w="1280" w:type="dxa"/>
            <w:tcBorders>
              <w:top w:val="single" w:sz="12" w:space="0" w:color="auto"/>
              <w:left w:val="nil"/>
              <w:bottom w:val="nil"/>
              <w:right w:val="nil"/>
            </w:tcBorders>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c>
          <w:tcPr>
            <w:tcW w:w="1280" w:type="dxa"/>
            <w:tcBorders>
              <w:top w:val="single" w:sz="12" w:space="0" w:color="auto"/>
              <w:left w:val="nil"/>
              <w:bottom w:val="nil"/>
              <w:right w:val="nil"/>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c>
          <w:tcPr>
            <w:tcW w:w="1280" w:type="dxa"/>
            <w:tcBorders>
              <w:top w:val="single" w:sz="12" w:space="0" w:color="auto"/>
              <w:left w:val="nil"/>
              <w:bottom w:val="nil"/>
              <w:right w:val="nil"/>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25</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Likely</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4</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16</w:t>
            </w:r>
          </w:p>
        </w:tc>
        <w:tc>
          <w:tcPr>
            <w:tcW w:w="1280" w:type="dxa"/>
            <w:tcBorders>
              <w:top w:val="nil"/>
              <w:left w:val="nil"/>
              <w:bottom w:val="nil"/>
              <w:right w:val="single" w:sz="12" w:space="0" w:color="auto"/>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Possible</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3</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9</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tcBorders>
              <w:top w:val="nil"/>
              <w:left w:val="nil"/>
              <w:bottom w:val="nil"/>
              <w:right w:val="single" w:sz="12" w:space="0" w:color="auto"/>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Unlikely</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2</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tcBorders>
              <w:top w:val="nil"/>
              <w:left w:val="nil"/>
              <w:bottom w:val="nil"/>
              <w:right w:val="single" w:sz="12" w:space="0" w:color="auto"/>
            </w:tcBorders>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Rare</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1</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r>
      <w:tr w:rsidR="00F00DE8" w:rsidRPr="00011AC6" w:rsidTr="00415D64">
        <w:trPr>
          <w:trHeight w:val="315"/>
        </w:trPr>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1</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2</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3</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4</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5</w:t>
            </w:r>
          </w:p>
        </w:tc>
      </w:tr>
      <w:tr w:rsidR="00F00DE8" w:rsidRPr="00011AC6" w:rsidTr="00415D64">
        <w:trPr>
          <w:trHeight w:val="300"/>
        </w:trPr>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rsidR="00F00DE8" w:rsidRPr="00011AC6" w:rsidRDefault="00F00DE8" w:rsidP="00415D64">
            <w:pPr>
              <w:jc w:val="center"/>
              <w:rPr>
                <w:rFonts w:cs="Arial"/>
                <w:b/>
                <w:bCs/>
                <w:sz w:val="22"/>
                <w:szCs w:val="22"/>
              </w:rPr>
            </w:pPr>
            <w:r w:rsidRPr="00011AC6">
              <w:rPr>
                <w:rFonts w:cs="Arial"/>
                <w:b/>
                <w:bCs/>
                <w:sz w:val="22"/>
                <w:szCs w:val="22"/>
              </w:rPr>
              <w:t>Impact</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Insignificant</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Minor</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Moderate</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Major</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Severe</w:t>
            </w:r>
          </w:p>
        </w:tc>
      </w:tr>
    </w:tbl>
    <w:p w:rsidR="002329CF" w:rsidRDefault="002329CF" w:rsidP="004A6D2F"/>
    <w:tbl>
      <w:tblPr>
        <w:tblW w:w="7868" w:type="dxa"/>
        <w:tblInd w:w="93" w:type="dxa"/>
        <w:tblLook w:val="04A0" w:firstRow="1" w:lastRow="0" w:firstColumn="1" w:lastColumn="0" w:noHBand="0" w:noVBand="1"/>
      </w:tblPr>
      <w:tblGrid>
        <w:gridCol w:w="1967"/>
        <w:gridCol w:w="1967"/>
        <w:gridCol w:w="1967"/>
        <w:gridCol w:w="1967"/>
      </w:tblGrid>
      <w:tr w:rsidR="00F00DE8" w:rsidRPr="00A91CBA" w:rsidTr="00415D64">
        <w:trPr>
          <w:trHeight w:val="285"/>
        </w:trPr>
        <w:tc>
          <w:tcPr>
            <w:tcW w:w="1967" w:type="dxa"/>
            <w:tcBorders>
              <w:top w:val="nil"/>
              <w:left w:val="nil"/>
              <w:bottom w:val="nil"/>
              <w:right w:val="nil"/>
            </w:tcBorders>
            <w:shd w:val="clear" w:color="auto" w:fill="auto"/>
            <w:noWrap/>
            <w:vAlign w:val="center"/>
            <w:hideMark/>
          </w:tcPr>
          <w:p w:rsidR="00F00DE8" w:rsidRPr="00A91CBA" w:rsidRDefault="00F00DE8" w:rsidP="00415D64">
            <w:pPr>
              <w:rPr>
                <w:rFonts w:cs="Arial"/>
                <w:b/>
                <w:bCs/>
              </w:rPr>
            </w:pPr>
            <w:r w:rsidRPr="00A91CBA">
              <w:rPr>
                <w:rFonts w:cs="Arial"/>
                <w:b/>
                <w:bCs/>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F00DE8" w:rsidRPr="00A91CBA" w:rsidRDefault="00F00DE8" w:rsidP="00415D64">
            <w:pPr>
              <w:jc w:val="center"/>
              <w:rPr>
                <w:rFonts w:cs="Arial"/>
                <w:b/>
                <w:bCs/>
                <w:color w:val="FFFFFF"/>
              </w:rPr>
            </w:pPr>
            <w:r w:rsidRPr="00A91CBA">
              <w:rPr>
                <w:rFonts w:cs="Arial"/>
                <w:b/>
                <w:bCs/>
                <w:color w:val="FFFFFF"/>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F00DE8" w:rsidRPr="00A91CBA" w:rsidRDefault="00F00DE8" w:rsidP="00415D64">
            <w:pPr>
              <w:jc w:val="center"/>
              <w:rPr>
                <w:rFonts w:cs="Arial"/>
                <w:b/>
                <w:bCs/>
                <w:color w:val="FFFFFF"/>
              </w:rPr>
            </w:pPr>
            <w:r w:rsidRPr="00A91CBA">
              <w:rPr>
                <w:rFonts w:cs="Arial"/>
                <w:b/>
                <w:bCs/>
                <w:color w:val="FFFFFF"/>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F00DE8" w:rsidRPr="00A91CBA" w:rsidRDefault="00F00DE8" w:rsidP="00415D64">
            <w:pPr>
              <w:jc w:val="center"/>
              <w:rPr>
                <w:rFonts w:cs="Arial"/>
                <w:b/>
                <w:bCs/>
                <w:color w:val="FFFFFF"/>
              </w:rPr>
            </w:pPr>
            <w:r w:rsidRPr="00A91CBA">
              <w:rPr>
                <w:rFonts w:cs="Arial"/>
                <w:b/>
                <w:bCs/>
                <w:color w:val="FFFFFF"/>
              </w:rPr>
              <w:t>Red</w:t>
            </w:r>
          </w:p>
        </w:tc>
      </w:tr>
      <w:tr w:rsidR="00F00DE8" w:rsidRPr="00A91CBA" w:rsidTr="00415D64">
        <w:trPr>
          <w:trHeight w:val="272"/>
        </w:trPr>
        <w:tc>
          <w:tcPr>
            <w:tcW w:w="1967" w:type="dxa"/>
            <w:tcBorders>
              <w:top w:val="nil"/>
              <w:left w:val="nil"/>
              <w:bottom w:val="nil"/>
              <w:right w:val="nil"/>
            </w:tcBorders>
            <w:shd w:val="clear" w:color="auto" w:fill="auto"/>
            <w:noWrap/>
            <w:vAlign w:val="bottom"/>
            <w:hideMark/>
          </w:tcPr>
          <w:p w:rsidR="00F00DE8" w:rsidRPr="00A91CBA" w:rsidRDefault="00F00DE8" w:rsidP="00415D64">
            <w:pPr>
              <w:rPr>
                <w:rFonts w:ascii="Calibri" w:hAnsi="Calibri" w:cs="Calibri"/>
                <w:sz w:val="22"/>
                <w:szCs w:val="22"/>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F00DE8" w:rsidRPr="00A91CBA" w:rsidRDefault="00F00DE8" w:rsidP="00415D64">
            <w:pPr>
              <w:rPr>
                <w:rFonts w:cs="Arial"/>
              </w:rPr>
            </w:pPr>
            <w:r w:rsidRPr="00A91CBA">
              <w:rPr>
                <w:rFonts w:eastAsiaTheme="minorHAnsi" w:cs="Arial"/>
              </w:rPr>
              <w:t> </w:t>
            </w:r>
          </w:p>
        </w:tc>
      </w:tr>
    </w:tbl>
    <w:p w:rsidR="00F00DE8" w:rsidRDefault="00F00DE8" w:rsidP="004A6D2F"/>
    <w:p w:rsidR="00F00DE8" w:rsidRDefault="00F00DE8" w:rsidP="004A6D2F"/>
    <w:p w:rsidR="00F00DE8" w:rsidRPr="00F00DE8" w:rsidRDefault="00F00DE8" w:rsidP="00F00DE8">
      <w:pPr>
        <w:pStyle w:val="Heading1"/>
      </w:pPr>
      <w:r>
        <w:t xml:space="preserve">Risk </w:t>
      </w:r>
      <w:r w:rsidRPr="00A91CBA">
        <w:t>Identification</w:t>
      </w:r>
    </w:p>
    <w:p w:rsidR="00F00DE8" w:rsidRDefault="00F00DE8" w:rsidP="0091077C">
      <w:pPr>
        <w:pStyle w:val="bParagraphtext"/>
        <w:tabs>
          <w:tab w:val="clear" w:pos="426"/>
          <w:tab w:val="left" w:pos="709"/>
        </w:tabs>
        <w:ind w:left="567" w:hanging="567"/>
        <w:jc w:val="both"/>
      </w:pPr>
      <w:r w:rsidRPr="00A91CBA">
        <w:rPr>
          <w:b/>
        </w:rPr>
        <w:t xml:space="preserve">Corporate Risks – </w:t>
      </w:r>
      <w:r w:rsidRPr="00A91CBA">
        <w:t xml:space="preserve">The Corporate Risk Register (CRR) is reviewed by the Corporate Management Team (CMT) on a </w:t>
      </w:r>
      <w:r>
        <w:t xml:space="preserve">periodic </w:t>
      </w:r>
      <w:r w:rsidRPr="00A91CBA">
        <w:t xml:space="preserve">basis, any new risks are incorporated into a revised version of the CRR.  Risk owners </w:t>
      </w:r>
      <w:r>
        <w:t>of</w:t>
      </w:r>
      <w:r w:rsidRPr="00A91CBA">
        <w:t xml:space="preserve"> corporate risks are generally </w:t>
      </w:r>
      <w:r>
        <w:t xml:space="preserve">Executive </w:t>
      </w:r>
      <w:r w:rsidRPr="00A91CBA">
        <w:t>Director</w:t>
      </w:r>
      <w:r>
        <w:t>s.</w:t>
      </w:r>
    </w:p>
    <w:p w:rsidR="00F00DE8" w:rsidRPr="003722CF" w:rsidRDefault="00F00DE8" w:rsidP="0091077C">
      <w:pPr>
        <w:pStyle w:val="bParagraphtext"/>
        <w:tabs>
          <w:tab w:val="clear" w:pos="426"/>
          <w:tab w:val="left" w:pos="709"/>
        </w:tabs>
        <w:ind w:left="567" w:hanging="567"/>
        <w:jc w:val="both"/>
      </w:pPr>
      <w:r w:rsidRPr="00A91CBA">
        <w:rPr>
          <w:b/>
        </w:rPr>
        <w:t xml:space="preserve">Service Risks – </w:t>
      </w:r>
      <w:r w:rsidRPr="00A91CBA">
        <w:t xml:space="preserve">Service </w:t>
      </w:r>
      <w:r>
        <w:t>A</w:t>
      </w:r>
      <w:r w:rsidRPr="00A91CBA">
        <w:t xml:space="preserve">rea risks are reviewed periodically by Heads of Service and Service Managers.  The Financial Accounting Manager has oversight of all risks and on a quarterly basis will review service risks to determine </w:t>
      </w:r>
      <w:r>
        <w:t>whether they should be considered f</w:t>
      </w:r>
      <w:r w:rsidRPr="00A91CBA">
        <w:t>or inclusion in the Corporate Risk Register.</w:t>
      </w:r>
    </w:p>
    <w:p w:rsidR="00F00DE8" w:rsidRDefault="00F00DE8" w:rsidP="00143C77">
      <w:pPr>
        <w:pStyle w:val="bParagraphtext"/>
        <w:tabs>
          <w:tab w:val="clear" w:pos="426"/>
          <w:tab w:val="left" w:pos="851"/>
        </w:tabs>
        <w:spacing w:after="0"/>
        <w:ind w:left="567" w:hanging="567"/>
        <w:jc w:val="both"/>
      </w:pPr>
      <w:r w:rsidRPr="00676B7F">
        <w:rPr>
          <w:b/>
        </w:rPr>
        <w:t xml:space="preserve">Project and Programme Risk – </w:t>
      </w:r>
      <w:r w:rsidRPr="00676B7F">
        <w:t xml:space="preserve">The Council adopts the principles of Prince2 </w:t>
      </w:r>
      <w:r>
        <w:t xml:space="preserve">and agile </w:t>
      </w:r>
      <w:r w:rsidRPr="00676B7F">
        <w:t>methodolog</w:t>
      </w:r>
      <w:r>
        <w:t>ies in addition to recognised industry standards in construction</w:t>
      </w:r>
      <w:r w:rsidRPr="00676B7F">
        <w:t xml:space="preserve"> for managing projects. Incorporated within th</w:t>
      </w:r>
      <w:r>
        <w:t>e</w:t>
      </w:r>
      <w:r w:rsidRPr="00676B7F">
        <w:t>s</w:t>
      </w:r>
      <w:r>
        <w:t>e</w:t>
      </w:r>
      <w:r w:rsidRPr="00676B7F">
        <w:t xml:space="preserve"> methodolog</w:t>
      </w:r>
      <w:r>
        <w:t>ies</w:t>
      </w:r>
      <w:r w:rsidRPr="00676B7F">
        <w:t xml:space="preserve"> is a robust process for the management of risk within a project environment.  Each project is managed by the Project Manager who controls and co-ordinates all aspects of the project through to conclusion.</w:t>
      </w:r>
    </w:p>
    <w:p w:rsidR="00E67E2E" w:rsidRPr="00F00DE8" w:rsidRDefault="00E67E2E" w:rsidP="00E67E2E">
      <w:pPr>
        <w:pStyle w:val="bParagraphtext"/>
        <w:numPr>
          <w:ilvl w:val="0"/>
          <w:numId w:val="0"/>
        </w:numPr>
        <w:ind w:left="426"/>
      </w:pPr>
    </w:p>
    <w:p w:rsidR="00F00DE8" w:rsidRDefault="00F00DE8" w:rsidP="00F00DE8">
      <w:pPr>
        <w:pStyle w:val="Heading1"/>
      </w:pPr>
      <w:r>
        <w:t xml:space="preserve">Corporate Risk Register </w:t>
      </w:r>
    </w:p>
    <w:p w:rsidR="00C677C2" w:rsidRPr="00086C0A" w:rsidRDefault="005C2016" w:rsidP="0091077C">
      <w:pPr>
        <w:pStyle w:val="ListParagraph"/>
        <w:numPr>
          <w:ilvl w:val="0"/>
          <w:numId w:val="0"/>
        </w:numPr>
        <w:tabs>
          <w:tab w:val="clear" w:pos="426"/>
          <w:tab w:val="left" w:pos="709"/>
        </w:tabs>
        <w:ind w:left="567" w:hanging="567"/>
        <w:jc w:val="both"/>
        <w:rPr>
          <w:b/>
        </w:rPr>
      </w:pPr>
      <w:r>
        <w:t>7</w:t>
      </w:r>
      <w:r w:rsidR="0091077C">
        <w:t>.</w:t>
      </w:r>
      <w:r>
        <w:tab/>
      </w:r>
      <w:r w:rsidR="00F00DE8">
        <w:t xml:space="preserve">The Audit and Governance Committee receive information on risk on a quarterly basis. </w:t>
      </w:r>
      <w:r w:rsidR="00FB3372">
        <w:t xml:space="preserve">The Council has </w:t>
      </w:r>
      <w:r w:rsidR="00291BC1">
        <w:t xml:space="preserve">recently </w:t>
      </w:r>
      <w:r w:rsidR="006B13B3">
        <w:t xml:space="preserve">switched over the reporting processes for corporate risks from the current methodology using the CorVu application to a new set of procedures involving the use of </w:t>
      </w:r>
      <w:r w:rsidR="00587AEC">
        <w:t>Smart sheets</w:t>
      </w:r>
      <w:r w:rsidR="006B13B3">
        <w:t>. These are a more modern solution that aligns to the Business Intelligence vision using modern tools to provide data insights and data-led decision making</w:t>
      </w:r>
      <w:r w:rsidR="00086C0A">
        <w:t>.</w:t>
      </w:r>
      <w:r w:rsidR="00FB3372">
        <w:t xml:space="preserve"> </w:t>
      </w:r>
      <w:r w:rsidR="00CB0535">
        <w:t>T</w:t>
      </w:r>
      <w:r w:rsidR="00F00DE8">
        <w:t>he C</w:t>
      </w:r>
      <w:r w:rsidR="00F00DE8" w:rsidRPr="001135F8">
        <w:t xml:space="preserve">orporate Risk Register </w:t>
      </w:r>
      <w:r w:rsidR="00425F63">
        <w:t xml:space="preserve">as at 31 March 2022 </w:t>
      </w:r>
      <w:r w:rsidR="00FB3372">
        <w:t xml:space="preserve">is </w:t>
      </w:r>
      <w:r w:rsidR="00F00DE8">
        <w:t xml:space="preserve">attached at </w:t>
      </w:r>
      <w:r w:rsidR="00F00DE8" w:rsidRPr="001135F8">
        <w:t>Append</w:t>
      </w:r>
      <w:r w:rsidR="002F1DF8">
        <w:t>ix</w:t>
      </w:r>
      <w:r w:rsidR="00F00DE8" w:rsidRPr="001135F8">
        <w:t xml:space="preserve"> A</w:t>
      </w:r>
      <w:r w:rsidR="0091077C">
        <w:t>.</w:t>
      </w:r>
    </w:p>
    <w:p w:rsidR="00587AEC" w:rsidRDefault="00CB0535" w:rsidP="00143C77">
      <w:pPr>
        <w:pStyle w:val="bParagraphtext"/>
        <w:numPr>
          <w:ilvl w:val="0"/>
          <w:numId w:val="0"/>
        </w:numPr>
        <w:ind w:left="426" w:hanging="426"/>
        <w:rPr>
          <w:b/>
        </w:rPr>
      </w:pPr>
      <w:r w:rsidRPr="00CB0535">
        <w:rPr>
          <w:b/>
        </w:rPr>
        <w:lastRenderedPageBreak/>
        <w:t xml:space="preserve">Corporate Risk Register </w:t>
      </w:r>
      <w:r w:rsidR="00854548">
        <w:rPr>
          <w:b/>
        </w:rPr>
        <w:t>– 3</w:t>
      </w:r>
      <w:r w:rsidR="00113070">
        <w:rPr>
          <w:b/>
        </w:rPr>
        <w:t xml:space="preserve">1 </w:t>
      </w:r>
      <w:r w:rsidR="00425F63">
        <w:rPr>
          <w:b/>
        </w:rPr>
        <w:t>March 2022</w:t>
      </w:r>
    </w:p>
    <w:p w:rsidR="002A68B2" w:rsidRDefault="00587AEC" w:rsidP="00143C77">
      <w:pPr>
        <w:pStyle w:val="bParagraphtext"/>
        <w:numPr>
          <w:ilvl w:val="0"/>
          <w:numId w:val="8"/>
        </w:numPr>
        <w:tabs>
          <w:tab w:val="clear" w:pos="426"/>
          <w:tab w:val="clear" w:pos="720"/>
          <w:tab w:val="num" w:pos="567"/>
        </w:tabs>
        <w:ind w:left="567" w:hanging="567"/>
        <w:jc w:val="both"/>
      </w:pPr>
      <w:r>
        <w:t>The number of Red risks has remained at three.</w:t>
      </w:r>
      <w:r w:rsidR="002A68B2">
        <w:t xml:space="preserve"> </w:t>
      </w:r>
    </w:p>
    <w:p w:rsidR="002A68B2" w:rsidRDefault="002A68B2" w:rsidP="0071710D">
      <w:pPr>
        <w:pStyle w:val="bParagraphtext"/>
        <w:numPr>
          <w:ilvl w:val="0"/>
          <w:numId w:val="8"/>
        </w:numPr>
        <w:tabs>
          <w:tab w:val="clear" w:pos="426"/>
          <w:tab w:val="clear" w:pos="720"/>
          <w:tab w:val="num" w:pos="709"/>
        </w:tabs>
        <w:ind w:left="567" w:hanging="567"/>
      </w:pPr>
      <w:r>
        <w:t>Details of the Red risks are as follows:</w:t>
      </w:r>
    </w:p>
    <w:p w:rsidR="00893F1F" w:rsidRDefault="002A68B2" w:rsidP="0071710D">
      <w:pPr>
        <w:pStyle w:val="Bulletpoints"/>
        <w:numPr>
          <w:ilvl w:val="0"/>
          <w:numId w:val="18"/>
        </w:numPr>
        <w:ind w:left="851" w:hanging="284"/>
        <w:jc w:val="both"/>
      </w:pPr>
      <w:r w:rsidRPr="00893F1F">
        <w:rPr>
          <w:b/>
        </w:rPr>
        <w:t>Housing</w:t>
      </w:r>
      <w:r w:rsidRPr="007C04F9">
        <w:t xml:space="preserve"> – the Council has key priorities around housing which include ensuring housing delivery and supply for the City</w:t>
      </w:r>
      <w:r>
        <w:t xml:space="preserve"> of Oxford</w:t>
      </w:r>
      <w:r w:rsidRPr="007C04F9">
        <w:t xml:space="preserve"> and</w:t>
      </w:r>
      <w:r>
        <w:t xml:space="preserve"> enabling sufficient house building and investment. Insufficient housing in Oxford leads to an increase in homelessness which has an impact on residents. There are also health and quality of life issues. </w:t>
      </w:r>
    </w:p>
    <w:p w:rsidR="00896FB7" w:rsidRDefault="002A68B2" w:rsidP="0071710D">
      <w:pPr>
        <w:pStyle w:val="Bulletpoints"/>
        <w:numPr>
          <w:ilvl w:val="0"/>
          <w:numId w:val="0"/>
        </w:numPr>
        <w:ind w:left="851"/>
        <w:jc w:val="both"/>
      </w:pPr>
      <w:r>
        <w:t>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t xml:space="preserve"> </w:t>
      </w:r>
      <w:r>
        <w:t>lettings. In addition the Council’s housing companies are in the process of constructing new affordable homes</w:t>
      </w:r>
      <w:r w:rsidR="002A7655">
        <w:t>.</w:t>
      </w:r>
      <w:r w:rsidR="00850D6F">
        <w:t xml:space="preserve"> </w:t>
      </w:r>
      <w:bookmarkStart w:id="0" w:name="_GoBack"/>
      <w:bookmarkEnd w:id="0"/>
    </w:p>
    <w:p w:rsidR="00893F1F" w:rsidRDefault="00896FB7" w:rsidP="0071710D">
      <w:pPr>
        <w:pStyle w:val="Bulletpoints"/>
        <w:numPr>
          <w:ilvl w:val="0"/>
          <w:numId w:val="18"/>
        </w:numPr>
        <w:ind w:left="851" w:hanging="284"/>
        <w:jc w:val="both"/>
      </w:pPr>
      <w:r w:rsidRPr="00893F1F">
        <w:rPr>
          <w:b/>
        </w:rPr>
        <w:t>Economic Growth</w:t>
      </w:r>
      <w:r w:rsidR="00143C77">
        <w:t xml:space="preserve"> – this </w:t>
      </w:r>
      <w:r>
        <w:t xml:space="preserve">relates to local, national or international factors adversely affecting the economic growth of the City. </w:t>
      </w:r>
      <w:r w:rsidR="00143C77">
        <w:t>Whilst COVID-</w:t>
      </w:r>
      <w:r w:rsidR="00343A97">
        <w:t>19 restrictions are beginning to be lifted, the supply chain challenges relating to Brexit, the war in Europe, energy security and related inflationary issues are a heightened risk.</w:t>
      </w:r>
      <w:r w:rsidR="00893F1F">
        <w:t xml:space="preserve"> </w:t>
      </w:r>
    </w:p>
    <w:p w:rsidR="00C2323E" w:rsidRDefault="00C2323E" w:rsidP="0071710D">
      <w:pPr>
        <w:pStyle w:val="Bulletpoints"/>
        <w:numPr>
          <w:ilvl w:val="0"/>
          <w:numId w:val="0"/>
        </w:numPr>
        <w:ind w:left="851"/>
        <w:jc w:val="both"/>
      </w:pPr>
      <w:r>
        <w:t>The Council is able to affect this risk through the d</w:t>
      </w:r>
      <w:r w:rsidRPr="00C2323E">
        <w:t>eliver</w:t>
      </w:r>
      <w:r>
        <w:t xml:space="preserve">y of the </w:t>
      </w:r>
      <w:r w:rsidRPr="00C2323E">
        <w:t xml:space="preserve">Oxford Economic Strategy &amp; City Centre Vision Action Plan. </w:t>
      </w:r>
      <w:r>
        <w:t>This aims to s</w:t>
      </w:r>
      <w:r w:rsidRPr="00C2323E">
        <w:t>timulate recovery through targeted measures</w:t>
      </w:r>
      <w:r>
        <w:t xml:space="preserve"> and the Council will w</w:t>
      </w:r>
      <w:r w:rsidRPr="00C2323E">
        <w:t>ork with Economic Growth Board &amp; City Centre Task Force</w:t>
      </w:r>
      <w:r>
        <w:t xml:space="preserve"> and e</w:t>
      </w:r>
      <w:r w:rsidRPr="00C2323E">
        <w:t>ngage with businesses to understand long term impact of COVID &amp; EU Transition</w:t>
      </w:r>
      <w:r w:rsidR="00893F1F">
        <w:t>, taking action where possible.  Macroeconomic impacts are outside the Council’s direct control but the effects can be managed and mitigated at the local level.</w:t>
      </w:r>
    </w:p>
    <w:p w:rsidR="00A603BB" w:rsidRDefault="00896FB7" w:rsidP="0071710D">
      <w:pPr>
        <w:pStyle w:val="Bulletpoints"/>
        <w:numPr>
          <w:ilvl w:val="0"/>
          <w:numId w:val="13"/>
        </w:numPr>
        <w:ind w:left="851" w:hanging="284"/>
        <w:jc w:val="both"/>
      </w:pPr>
      <w:r w:rsidRPr="00085316">
        <w:rPr>
          <w:b/>
        </w:rPr>
        <w:t>Negative Impacts of Climate Change</w:t>
      </w:r>
      <w:r>
        <w:t xml:space="preserve"> </w:t>
      </w:r>
      <w:r w:rsidR="00994692">
        <w:t>–</w:t>
      </w:r>
      <w:r w:rsidR="00994692" w:rsidRPr="00994692">
        <w:t xml:space="preserve"> </w:t>
      </w:r>
      <w:r w:rsidR="00994692">
        <w:t xml:space="preserve">areas of concern are </w:t>
      </w:r>
      <w:r w:rsidR="00994692" w:rsidRPr="00994692">
        <w:t>Flooding, which is highly weather dependent; poor air quality and increased episodes of excess heat.</w:t>
      </w:r>
      <w:r w:rsidR="00994692">
        <w:t xml:space="preserve">  </w:t>
      </w:r>
    </w:p>
    <w:p w:rsidR="00994692" w:rsidRDefault="00A603BB" w:rsidP="0071710D">
      <w:pPr>
        <w:pStyle w:val="Bulletpoints"/>
        <w:numPr>
          <w:ilvl w:val="0"/>
          <w:numId w:val="0"/>
        </w:numPr>
        <w:tabs>
          <w:tab w:val="clear" w:pos="993"/>
          <w:tab w:val="left" w:pos="1134"/>
        </w:tabs>
        <w:ind w:left="851"/>
        <w:jc w:val="both"/>
      </w:pPr>
      <w:r>
        <w:t xml:space="preserve">The Council does not have control over the global climate position but it can make changes and improvements within its sphere of influence.  </w:t>
      </w:r>
      <w:r w:rsidR="00896FB7" w:rsidRPr="00994692">
        <w:t>Th</w:t>
      </w:r>
      <w:r w:rsidR="00896FB7">
        <w:t xml:space="preserve">e Council has made action on climate change one of its corporate priorities and has stepped up its programme of action, partnering and influencing to seek to mitigate social health and environmental impacts on the City. The Oxford Flood Alleviation Scheme (OFAS) scheme continues to progress. Work is ongoing through Zero Carbon Oxfordshire Partnership (ZCOP) to reduce carbon emissions across the City. </w:t>
      </w:r>
      <w:r>
        <w:t xml:space="preserve"> </w:t>
      </w:r>
      <w:r w:rsidR="00994692" w:rsidRPr="00994692">
        <w:t>Oxford City Council's Carbon Management Plan, ongoing work around flood mitigation</w:t>
      </w:r>
      <w:r w:rsidR="00B13143">
        <w:t>,</w:t>
      </w:r>
      <w:r w:rsidR="00994692" w:rsidRPr="00994692">
        <w:t xml:space="preserve"> </w:t>
      </w:r>
      <w:proofErr w:type="spellStart"/>
      <w:r w:rsidR="00994692" w:rsidRPr="00994692">
        <w:t>treeplanting</w:t>
      </w:r>
      <w:proofErr w:type="spellEnd"/>
      <w:r w:rsidR="00994692" w:rsidRPr="00994692">
        <w:t xml:space="preserve"> </w:t>
      </w:r>
      <w:r w:rsidR="00B13143">
        <w:t>and p</w:t>
      </w:r>
      <w:r w:rsidR="00994692" w:rsidRPr="00994692">
        <w:t>artnership with the EA</w:t>
      </w:r>
      <w:r w:rsidR="00B13143">
        <w:t>-</w:t>
      </w:r>
      <w:r w:rsidR="00994692" w:rsidRPr="00994692">
        <w:t>led programme to deliver the Oxford Flood Alleviation Scheme</w:t>
      </w:r>
      <w:r w:rsidR="00994692">
        <w:t xml:space="preserve">.  </w:t>
      </w:r>
      <w:r w:rsidR="00994692" w:rsidRPr="00994692">
        <w:t>Control measures relating t</w:t>
      </w:r>
      <w:r w:rsidR="00B13143">
        <w:t>o advocacy, clear communication</w:t>
      </w:r>
      <w:r w:rsidR="00994692" w:rsidRPr="00994692">
        <w:t xml:space="preserve"> </w:t>
      </w:r>
      <w:r w:rsidR="00B13143" w:rsidRPr="00994692">
        <w:t>and negotiation</w:t>
      </w:r>
      <w:r w:rsidR="00994692" w:rsidRPr="00994692">
        <w:t xml:space="preserve"> over our land assets, in particular at </w:t>
      </w:r>
      <w:proofErr w:type="spellStart"/>
      <w:r w:rsidR="00994692" w:rsidRPr="00994692">
        <w:t>Seacourt</w:t>
      </w:r>
      <w:proofErr w:type="spellEnd"/>
      <w:r w:rsidR="00994692" w:rsidRPr="00994692">
        <w:t xml:space="preserve"> and Redbridge Park and Ride sites (</w:t>
      </w:r>
      <w:proofErr w:type="spellStart"/>
      <w:r w:rsidR="00994692" w:rsidRPr="00994692">
        <w:t>Seacourt</w:t>
      </w:r>
      <w:proofErr w:type="spellEnd"/>
      <w:r w:rsidR="00994692" w:rsidRPr="00994692">
        <w:t xml:space="preserve"> extension)</w:t>
      </w:r>
      <w:r>
        <w:t xml:space="preserve"> are also employed.</w:t>
      </w:r>
    </w:p>
    <w:p w:rsidR="00AF3BA6" w:rsidRDefault="002A68B2" w:rsidP="00143C77">
      <w:pPr>
        <w:pStyle w:val="bParagraphtext"/>
        <w:numPr>
          <w:ilvl w:val="0"/>
          <w:numId w:val="8"/>
        </w:numPr>
        <w:tabs>
          <w:tab w:val="clear" w:pos="426"/>
          <w:tab w:val="clear" w:pos="720"/>
          <w:tab w:val="num" w:pos="851"/>
        </w:tabs>
        <w:ind w:left="567" w:hanging="567"/>
      </w:pPr>
      <w:r w:rsidRPr="007756E5">
        <w:t xml:space="preserve">No </w:t>
      </w:r>
      <w:r w:rsidR="003A327A">
        <w:t xml:space="preserve">new risks have been added and no </w:t>
      </w:r>
      <w:r w:rsidRPr="007756E5">
        <w:t>risks have been closed in th</w:t>
      </w:r>
      <w:r w:rsidR="00EE7A0D">
        <w:t>is</w:t>
      </w:r>
      <w:r w:rsidRPr="007756E5">
        <w:t xml:space="preserve"> period. </w:t>
      </w:r>
    </w:p>
    <w:p w:rsidR="006F7AF0" w:rsidRPr="00EE7A0D" w:rsidRDefault="002A68B2" w:rsidP="00143C77">
      <w:pPr>
        <w:pStyle w:val="bParagraphtext"/>
        <w:numPr>
          <w:ilvl w:val="0"/>
          <w:numId w:val="8"/>
        </w:numPr>
        <w:tabs>
          <w:tab w:val="clear" w:pos="426"/>
          <w:tab w:val="clear" w:pos="720"/>
          <w:tab w:val="num" w:pos="567"/>
          <w:tab w:val="num" w:pos="709"/>
        </w:tabs>
        <w:spacing w:after="0"/>
        <w:ind w:left="567" w:hanging="567"/>
        <w:jc w:val="both"/>
        <w:rPr>
          <w:rFonts w:cs="Arial"/>
        </w:rPr>
      </w:pPr>
      <w:r w:rsidRPr="00B77C83">
        <w:t xml:space="preserve">The table below shows the </w:t>
      </w:r>
      <w:r>
        <w:t xml:space="preserve">levels of Red, Amber and Green </w:t>
      </w:r>
      <w:r w:rsidR="003A327A">
        <w:t xml:space="preserve">corporate </w:t>
      </w:r>
      <w:r>
        <w:t xml:space="preserve">risks </w:t>
      </w:r>
      <w:r w:rsidRPr="00B77C83">
        <w:t>over the last 12 months.</w:t>
      </w:r>
    </w:p>
    <w:p w:rsidR="002A68B2" w:rsidRDefault="002A68B2" w:rsidP="002A68B2">
      <w:pPr>
        <w:rPr>
          <w:rFonts w:cs="Arial"/>
        </w:rPr>
      </w:pPr>
    </w:p>
    <w:tbl>
      <w:tblPr>
        <w:tblW w:w="6783" w:type="dxa"/>
        <w:tblInd w:w="720" w:type="dxa"/>
        <w:tblLayout w:type="fixed"/>
        <w:tblLook w:val="04A0" w:firstRow="1" w:lastRow="0" w:firstColumn="1" w:lastColumn="0" w:noHBand="0" w:noVBand="1"/>
      </w:tblPr>
      <w:tblGrid>
        <w:gridCol w:w="2105"/>
        <w:gridCol w:w="1134"/>
        <w:gridCol w:w="1134"/>
        <w:gridCol w:w="1134"/>
        <w:gridCol w:w="1276"/>
      </w:tblGrid>
      <w:tr w:rsidR="002A68B2" w:rsidRPr="000A470B" w:rsidTr="00415D64">
        <w:trPr>
          <w:trHeight w:val="650"/>
        </w:trPr>
        <w:tc>
          <w:tcPr>
            <w:tcW w:w="210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b/>
                <w:bCs/>
              </w:rPr>
            </w:pPr>
            <w:r w:rsidRPr="000A470B">
              <w:rPr>
                <w:rFonts w:cs="Arial"/>
                <w:b/>
                <w:bCs/>
              </w:rPr>
              <w:lastRenderedPageBreak/>
              <w:t>Current Risk</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Pr="000A470B" w:rsidRDefault="002A68B2">
            <w:pPr>
              <w:jc w:val="right"/>
              <w:rPr>
                <w:rFonts w:cs="Arial"/>
                <w:b/>
                <w:bCs/>
              </w:rPr>
            </w:pPr>
            <w:r>
              <w:rPr>
                <w:rFonts w:cs="Arial"/>
                <w:b/>
                <w:bCs/>
              </w:rPr>
              <w:t>Q</w:t>
            </w:r>
            <w:r w:rsidR="00425F63">
              <w:rPr>
                <w:rFonts w:cs="Arial"/>
                <w:b/>
                <w:bCs/>
              </w:rPr>
              <w:t>1</w:t>
            </w:r>
            <w:r w:rsidRPr="000A470B">
              <w:rPr>
                <w:rFonts w:cs="Arial"/>
                <w:b/>
                <w:bCs/>
              </w:rPr>
              <w:t xml:space="preserve"> 20</w:t>
            </w:r>
            <w:r>
              <w:rPr>
                <w:rFonts w:cs="Arial"/>
                <w:b/>
                <w:bCs/>
              </w:rPr>
              <w:t>2</w:t>
            </w:r>
            <w:r w:rsidR="00425F63">
              <w:rPr>
                <w:rFonts w:cs="Arial"/>
                <w:b/>
                <w:bCs/>
              </w:rPr>
              <w:t>1</w:t>
            </w:r>
            <w:r w:rsidRPr="000A470B">
              <w:rPr>
                <w:rFonts w:cs="Arial"/>
                <w:b/>
                <w:bCs/>
              </w:rPr>
              <w:t>/</w:t>
            </w:r>
            <w:r>
              <w:rPr>
                <w:rFonts w:cs="Arial"/>
                <w:b/>
                <w:bCs/>
              </w:rPr>
              <w:t>2</w:t>
            </w:r>
            <w:r w:rsidR="00425F63">
              <w:rPr>
                <w:rFonts w:cs="Arial"/>
                <w:b/>
                <w:bCs/>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Pr="000A470B" w:rsidRDefault="002A68B2">
            <w:pPr>
              <w:jc w:val="right"/>
              <w:rPr>
                <w:rFonts w:cs="Arial"/>
                <w:b/>
                <w:bCs/>
              </w:rPr>
            </w:pPr>
            <w:r>
              <w:rPr>
                <w:rFonts w:cs="Arial"/>
                <w:b/>
                <w:bCs/>
              </w:rPr>
              <w:t>Q</w:t>
            </w:r>
            <w:r w:rsidR="00425F63">
              <w:rPr>
                <w:rFonts w:cs="Arial"/>
                <w:b/>
                <w:bCs/>
              </w:rPr>
              <w:t>2</w:t>
            </w:r>
            <w:r w:rsidRPr="000A470B">
              <w:rPr>
                <w:rFonts w:cs="Arial"/>
                <w:b/>
                <w:bCs/>
              </w:rPr>
              <w:t xml:space="preserve"> 20</w:t>
            </w:r>
            <w:r>
              <w:rPr>
                <w:rFonts w:cs="Arial"/>
                <w:b/>
                <w:bCs/>
              </w:rPr>
              <w:t>2</w:t>
            </w:r>
            <w:r w:rsidR="00EE7A0D">
              <w:rPr>
                <w:rFonts w:cs="Arial"/>
                <w:b/>
                <w:bCs/>
              </w:rPr>
              <w:t>1</w:t>
            </w:r>
            <w:r w:rsidRPr="000A470B">
              <w:rPr>
                <w:rFonts w:cs="Arial"/>
                <w:b/>
                <w:bCs/>
              </w:rPr>
              <w:t>/</w:t>
            </w:r>
            <w:r>
              <w:rPr>
                <w:rFonts w:cs="Arial"/>
                <w:b/>
                <w:bCs/>
              </w:rPr>
              <w:t>2</w:t>
            </w:r>
            <w:r w:rsidR="00EE7A0D">
              <w:rPr>
                <w:rFonts w:cs="Arial"/>
                <w:b/>
                <w:bCs/>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Pr="000A470B" w:rsidRDefault="00EE7A0D">
            <w:pPr>
              <w:jc w:val="right"/>
              <w:rPr>
                <w:rFonts w:cs="Arial"/>
                <w:b/>
                <w:bCs/>
              </w:rPr>
            </w:pPr>
            <w:r>
              <w:rPr>
                <w:rFonts w:cs="Arial"/>
                <w:b/>
                <w:bCs/>
              </w:rPr>
              <w:t>Q</w:t>
            </w:r>
            <w:r w:rsidR="00425F63">
              <w:rPr>
                <w:rFonts w:cs="Arial"/>
                <w:b/>
                <w:bCs/>
              </w:rPr>
              <w:t>3</w:t>
            </w:r>
            <w:r w:rsidRPr="000A470B">
              <w:rPr>
                <w:rFonts w:cs="Arial"/>
                <w:b/>
                <w:bCs/>
              </w:rPr>
              <w:t xml:space="preserve"> 20</w:t>
            </w:r>
            <w:r>
              <w:rPr>
                <w:rFonts w:cs="Arial"/>
                <w:b/>
                <w:bCs/>
              </w:rPr>
              <w:t>21</w:t>
            </w:r>
            <w:r w:rsidRPr="000A470B">
              <w:rPr>
                <w:rFonts w:cs="Arial"/>
                <w:b/>
                <w:bCs/>
              </w:rPr>
              <w:t>/</w:t>
            </w:r>
            <w:r>
              <w:rPr>
                <w:rFonts w:cs="Arial"/>
                <w:b/>
                <w:bCs/>
              </w:rPr>
              <w:t>22</w:t>
            </w:r>
          </w:p>
        </w:tc>
        <w:tc>
          <w:tcPr>
            <w:tcW w:w="1276" w:type="dxa"/>
            <w:tcBorders>
              <w:top w:val="single" w:sz="8" w:space="0" w:color="000000"/>
              <w:left w:val="single" w:sz="8" w:space="0" w:color="000000"/>
              <w:bottom w:val="single" w:sz="8" w:space="0" w:color="000000"/>
              <w:right w:val="single" w:sz="4" w:space="0" w:color="auto"/>
            </w:tcBorders>
            <w:vAlign w:val="center"/>
          </w:tcPr>
          <w:p w:rsidR="002A68B2" w:rsidRDefault="00EE7A0D">
            <w:pPr>
              <w:jc w:val="right"/>
              <w:rPr>
                <w:rFonts w:cs="Arial"/>
                <w:b/>
                <w:bCs/>
              </w:rPr>
            </w:pPr>
            <w:r>
              <w:rPr>
                <w:rFonts w:cs="Arial"/>
                <w:b/>
                <w:bCs/>
              </w:rPr>
              <w:t>Q</w:t>
            </w:r>
            <w:r w:rsidR="00425F63">
              <w:rPr>
                <w:rFonts w:cs="Arial"/>
                <w:b/>
                <w:bCs/>
              </w:rPr>
              <w:t>4</w:t>
            </w:r>
            <w:r w:rsidRPr="000A470B">
              <w:rPr>
                <w:rFonts w:cs="Arial"/>
                <w:b/>
                <w:bCs/>
              </w:rPr>
              <w:t xml:space="preserve"> 20</w:t>
            </w:r>
            <w:r>
              <w:rPr>
                <w:rFonts w:cs="Arial"/>
                <w:b/>
                <w:bCs/>
              </w:rPr>
              <w:t>21</w:t>
            </w:r>
            <w:r w:rsidRPr="000A470B">
              <w:rPr>
                <w:rFonts w:cs="Arial"/>
                <w:b/>
                <w:bCs/>
              </w:rPr>
              <w:t>/</w:t>
            </w:r>
            <w:r>
              <w:rPr>
                <w:rFonts w:cs="Arial"/>
                <w:b/>
                <w:bCs/>
              </w:rPr>
              <w:t>22</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Red</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425F63">
            <w:pPr>
              <w:jc w:val="right"/>
              <w:rPr>
                <w:rFonts w:cs="Arial"/>
              </w:rPr>
            </w:pPr>
            <w:r>
              <w:rPr>
                <w:rFonts w:cs="Arial"/>
              </w:rPr>
              <w:t>3</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EE7A0D">
            <w:pPr>
              <w:jc w:val="right"/>
              <w:rPr>
                <w:rFonts w:cs="Arial"/>
              </w:rPr>
            </w:pPr>
            <w:r>
              <w:rPr>
                <w:rFonts w:cs="Arial"/>
              </w:rPr>
              <w:t>3</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5D18A1" w:rsidP="005D18A1">
            <w:pPr>
              <w:jc w:val="right"/>
              <w:rPr>
                <w:rFonts w:cs="Arial"/>
              </w:rPr>
            </w:pPr>
            <w:r>
              <w:rPr>
                <w:rFonts w:cs="Arial"/>
              </w:rPr>
              <w:t>3</w:t>
            </w:r>
          </w:p>
        </w:tc>
        <w:tc>
          <w:tcPr>
            <w:tcW w:w="1276" w:type="dxa"/>
            <w:tcBorders>
              <w:top w:val="single" w:sz="8" w:space="0" w:color="000000"/>
              <w:left w:val="nil"/>
              <w:bottom w:val="single" w:sz="8" w:space="0" w:color="000000"/>
              <w:right w:val="single" w:sz="4" w:space="0" w:color="auto"/>
            </w:tcBorders>
            <w:vAlign w:val="center"/>
          </w:tcPr>
          <w:p w:rsidR="002A68B2" w:rsidRDefault="00343A97" w:rsidP="00FC3061">
            <w:pPr>
              <w:jc w:val="right"/>
              <w:rPr>
                <w:rFonts w:cs="Arial"/>
              </w:rPr>
            </w:pPr>
            <w:r>
              <w:rPr>
                <w:rFonts w:cs="Arial"/>
              </w:rPr>
              <w:t>3</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Amber</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425F63">
            <w:pPr>
              <w:jc w:val="right"/>
              <w:rPr>
                <w:rFonts w:cs="Arial"/>
              </w:rPr>
            </w:pPr>
            <w:r>
              <w:rPr>
                <w:rFonts w:cs="Arial"/>
              </w:rPr>
              <w:t>11</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EE7A0D">
            <w:pPr>
              <w:jc w:val="right"/>
              <w:rPr>
                <w:rFonts w:cs="Arial"/>
              </w:rPr>
            </w:pPr>
            <w:r>
              <w:rPr>
                <w:rFonts w:cs="Arial"/>
              </w:rPr>
              <w:t>1</w:t>
            </w:r>
            <w:r w:rsidR="00425F63">
              <w:rPr>
                <w:rFonts w:cs="Arial"/>
              </w:rPr>
              <w:t>0</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5D18A1">
            <w:pPr>
              <w:jc w:val="right"/>
              <w:rPr>
                <w:rFonts w:cs="Arial"/>
              </w:rPr>
            </w:pPr>
            <w:r>
              <w:rPr>
                <w:rFonts w:cs="Arial"/>
              </w:rPr>
              <w:t>1</w:t>
            </w:r>
            <w:r w:rsidR="00425F63">
              <w:rPr>
                <w:rFonts w:cs="Arial"/>
              </w:rPr>
              <w:t>1</w:t>
            </w:r>
          </w:p>
        </w:tc>
        <w:tc>
          <w:tcPr>
            <w:tcW w:w="1276" w:type="dxa"/>
            <w:tcBorders>
              <w:top w:val="single" w:sz="8" w:space="0" w:color="000000"/>
              <w:left w:val="nil"/>
              <w:bottom w:val="single" w:sz="8" w:space="0" w:color="000000"/>
              <w:right w:val="single" w:sz="4" w:space="0" w:color="auto"/>
            </w:tcBorders>
            <w:vAlign w:val="center"/>
          </w:tcPr>
          <w:p w:rsidR="002A68B2" w:rsidRDefault="00343A97">
            <w:pPr>
              <w:jc w:val="right"/>
              <w:rPr>
                <w:rFonts w:cs="Arial"/>
              </w:rPr>
            </w:pPr>
            <w:r>
              <w:rPr>
                <w:rFonts w:cs="Arial"/>
              </w:rPr>
              <w:t>11</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Green</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425F63" w:rsidP="005D18A1">
            <w:pPr>
              <w:jc w:val="right"/>
              <w:rPr>
                <w:rFonts w:cs="Arial"/>
              </w:rPr>
            </w:pPr>
            <w:r>
              <w:rPr>
                <w:rFonts w:cs="Arial"/>
              </w:rPr>
              <w:t>0</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425F63">
            <w:pPr>
              <w:jc w:val="right"/>
              <w:rPr>
                <w:rFonts w:cs="Arial"/>
              </w:rPr>
            </w:pPr>
            <w:r>
              <w:rPr>
                <w:rFonts w:cs="Arial"/>
              </w:rPr>
              <w:t>1</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425F63">
            <w:pPr>
              <w:jc w:val="right"/>
              <w:rPr>
                <w:rFonts w:cs="Arial"/>
              </w:rPr>
            </w:pPr>
            <w:r>
              <w:rPr>
                <w:rFonts w:cs="Arial"/>
              </w:rPr>
              <w:t>0</w:t>
            </w:r>
          </w:p>
        </w:tc>
        <w:tc>
          <w:tcPr>
            <w:tcW w:w="1276" w:type="dxa"/>
            <w:tcBorders>
              <w:top w:val="single" w:sz="8" w:space="0" w:color="000000"/>
              <w:left w:val="nil"/>
              <w:bottom w:val="single" w:sz="8" w:space="0" w:color="000000"/>
              <w:right w:val="single" w:sz="4" w:space="0" w:color="auto"/>
            </w:tcBorders>
            <w:vAlign w:val="center"/>
          </w:tcPr>
          <w:p w:rsidR="002A68B2" w:rsidRDefault="00343A97">
            <w:pPr>
              <w:jc w:val="right"/>
              <w:rPr>
                <w:rFonts w:cs="Arial"/>
              </w:rPr>
            </w:pPr>
            <w:r>
              <w:rPr>
                <w:rFonts w:cs="Arial"/>
              </w:rPr>
              <w:t>0</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sidRPr="000A470B">
              <w:rPr>
                <w:rFonts w:cs="Arial"/>
              </w:rPr>
              <w:t> </w:t>
            </w:r>
          </w:p>
        </w:tc>
        <w:tc>
          <w:tcPr>
            <w:tcW w:w="1276" w:type="dxa"/>
            <w:tcBorders>
              <w:top w:val="single" w:sz="8" w:space="0" w:color="000000"/>
              <w:left w:val="nil"/>
              <w:bottom w:val="single" w:sz="8" w:space="0" w:color="000000"/>
              <w:right w:val="single" w:sz="4" w:space="0" w:color="auto"/>
            </w:tcBorders>
            <w:vAlign w:val="center"/>
          </w:tcPr>
          <w:p w:rsidR="002A68B2" w:rsidRPr="000A470B" w:rsidRDefault="002A68B2" w:rsidP="00415D64">
            <w:pPr>
              <w:jc w:val="right"/>
              <w:rPr>
                <w:rFonts w:cs="Arial"/>
              </w:rPr>
            </w:pPr>
          </w:p>
        </w:tc>
      </w:tr>
      <w:tr w:rsidR="002A68B2" w:rsidRPr="000A470B" w:rsidTr="00415D64">
        <w:trPr>
          <w:trHeight w:val="330"/>
        </w:trPr>
        <w:tc>
          <w:tcPr>
            <w:tcW w:w="2105" w:type="dxa"/>
            <w:tcBorders>
              <w:top w:val="nil"/>
              <w:left w:val="single" w:sz="8" w:space="0" w:color="000000"/>
              <w:bottom w:val="single" w:sz="8" w:space="0" w:color="000000"/>
              <w:right w:val="single" w:sz="8" w:space="0" w:color="000000"/>
            </w:tcBorders>
            <w:shd w:val="clear" w:color="000000" w:fill="D9D9D9"/>
            <w:noWrap/>
            <w:vAlign w:val="center"/>
            <w:hideMark/>
          </w:tcPr>
          <w:p w:rsidR="002A68B2" w:rsidRPr="000A470B" w:rsidRDefault="002A68B2" w:rsidP="00415D64">
            <w:pPr>
              <w:rPr>
                <w:rFonts w:cs="Arial"/>
                <w:b/>
                <w:bCs/>
              </w:rPr>
            </w:pPr>
            <w:r w:rsidRPr="000A470B">
              <w:rPr>
                <w:rFonts w:cs="Arial"/>
                <w:b/>
                <w:bCs/>
              </w:rPr>
              <w:t>Total risks</w:t>
            </w:r>
          </w:p>
        </w:tc>
        <w:tc>
          <w:tcPr>
            <w:tcW w:w="1134" w:type="dxa"/>
            <w:tcBorders>
              <w:top w:val="nil"/>
              <w:left w:val="nil"/>
              <w:bottom w:val="single" w:sz="8" w:space="0" w:color="000000"/>
              <w:right w:val="single" w:sz="8" w:space="0" w:color="000000"/>
            </w:tcBorders>
            <w:shd w:val="clear" w:color="000000" w:fill="D9D9D9"/>
            <w:vAlign w:val="center"/>
            <w:hideMark/>
          </w:tcPr>
          <w:p w:rsidR="002A68B2" w:rsidRPr="000A470B" w:rsidRDefault="002A68B2">
            <w:pPr>
              <w:jc w:val="right"/>
              <w:rPr>
                <w:rFonts w:cs="Arial"/>
                <w:b/>
                <w:bCs/>
              </w:rPr>
            </w:pPr>
            <w:r>
              <w:rPr>
                <w:rFonts w:cs="Arial"/>
                <w:b/>
                <w:bCs/>
              </w:rPr>
              <w:t>1</w:t>
            </w:r>
            <w:r w:rsidR="00EE7A0D">
              <w:rPr>
                <w:rFonts w:cs="Arial"/>
                <w:b/>
                <w:bCs/>
              </w:rPr>
              <w:t>4</w:t>
            </w:r>
          </w:p>
        </w:tc>
        <w:tc>
          <w:tcPr>
            <w:tcW w:w="1134" w:type="dxa"/>
            <w:tcBorders>
              <w:top w:val="nil"/>
              <w:left w:val="nil"/>
              <w:bottom w:val="single" w:sz="8" w:space="0" w:color="000000"/>
              <w:right w:val="single" w:sz="8" w:space="0" w:color="000000"/>
            </w:tcBorders>
            <w:shd w:val="clear" w:color="000000" w:fill="D9D9D9"/>
            <w:vAlign w:val="center"/>
            <w:hideMark/>
          </w:tcPr>
          <w:p w:rsidR="002A68B2" w:rsidRPr="000A470B" w:rsidRDefault="002A68B2">
            <w:pPr>
              <w:jc w:val="right"/>
              <w:rPr>
                <w:rFonts w:cs="Arial"/>
                <w:b/>
                <w:bCs/>
              </w:rPr>
            </w:pPr>
            <w:r>
              <w:rPr>
                <w:rFonts w:cs="Arial"/>
                <w:b/>
                <w:bCs/>
              </w:rPr>
              <w:t>1</w:t>
            </w:r>
            <w:r w:rsidR="00EE7A0D">
              <w:rPr>
                <w:rFonts w:cs="Arial"/>
                <w:b/>
                <w:bCs/>
              </w:rPr>
              <w:t>4</w:t>
            </w:r>
          </w:p>
        </w:tc>
        <w:tc>
          <w:tcPr>
            <w:tcW w:w="1134" w:type="dxa"/>
            <w:tcBorders>
              <w:top w:val="nil"/>
              <w:left w:val="nil"/>
              <w:bottom w:val="single" w:sz="8" w:space="0" w:color="000000"/>
              <w:right w:val="single" w:sz="8" w:space="0" w:color="000000"/>
            </w:tcBorders>
            <w:shd w:val="clear" w:color="000000" w:fill="D9D9D9"/>
            <w:vAlign w:val="center"/>
            <w:hideMark/>
          </w:tcPr>
          <w:p w:rsidR="002A68B2" w:rsidRPr="000A470B" w:rsidRDefault="002A68B2" w:rsidP="00FC3061">
            <w:pPr>
              <w:jc w:val="right"/>
              <w:rPr>
                <w:rFonts w:cs="Arial"/>
                <w:b/>
                <w:bCs/>
              </w:rPr>
            </w:pPr>
            <w:r>
              <w:rPr>
                <w:rFonts w:cs="Arial"/>
                <w:b/>
                <w:bCs/>
              </w:rPr>
              <w:t>1</w:t>
            </w:r>
            <w:r w:rsidR="00FC3061">
              <w:rPr>
                <w:rFonts w:cs="Arial"/>
                <w:b/>
                <w:bCs/>
              </w:rPr>
              <w:t>4</w:t>
            </w:r>
          </w:p>
        </w:tc>
        <w:tc>
          <w:tcPr>
            <w:tcW w:w="1276" w:type="dxa"/>
            <w:tcBorders>
              <w:top w:val="single" w:sz="8" w:space="0" w:color="000000"/>
              <w:left w:val="nil"/>
              <w:bottom w:val="single" w:sz="8" w:space="0" w:color="000000"/>
              <w:right w:val="single" w:sz="4" w:space="0" w:color="auto"/>
            </w:tcBorders>
            <w:shd w:val="clear" w:color="000000" w:fill="D9D9D9"/>
            <w:vAlign w:val="center"/>
          </w:tcPr>
          <w:p w:rsidR="002A68B2" w:rsidRPr="00632FB7" w:rsidRDefault="002A68B2" w:rsidP="00415D64">
            <w:pPr>
              <w:jc w:val="right"/>
              <w:rPr>
                <w:rFonts w:cs="Arial"/>
                <w:b/>
                <w:bCs/>
              </w:rPr>
            </w:pPr>
            <w:r>
              <w:rPr>
                <w:rFonts w:cs="Arial"/>
                <w:b/>
              </w:rPr>
              <w:t>14</w:t>
            </w:r>
            <w:r w:rsidRPr="00516995">
              <w:rPr>
                <w:rFonts w:cs="Arial"/>
                <w:b/>
              </w:rPr>
              <w:t> </w:t>
            </w:r>
          </w:p>
        </w:tc>
      </w:tr>
    </w:tbl>
    <w:p w:rsidR="002A68B2" w:rsidRDefault="002A68B2" w:rsidP="002A68B2">
      <w:pPr>
        <w:rPr>
          <w:rFonts w:cs="Arial"/>
          <w:b/>
        </w:rPr>
      </w:pPr>
    </w:p>
    <w:p w:rsidR="002A68B2" w:rsidRPr="00A32A7B" w:rsidRDefault="002A68B2" w:rsidP="002A68B2">
      <w:pPr>
        <w:pStyle w:val="Heading1"/>
      </w:pPr>
      <w:r w:rsidRPr="0078409C">
        <w:t>Service Risk Register</w:t>
      </w:r>
      <w:r>
        <w:t xml:space="preserve">s </w:t>
      </w:r>
      <w:r w:rsidR="00FC3061">
        <w:t xml:space="preserve">– </w:t>
      </w:r>
      <w:r w:rsidR="005D18A1">
        <w:t>3</w:t>
      </w:r>
      <w:r w:rsidR="00EE7A0D">
        <w:t xml:space="preserve">1 </w:t>
      </w:r>
      <w:r w:rsidR="00425F63">
        <w:t>March 2022</w:t>
      </w:r>
    </w:p>
    <w:p w:rsidR="002A68B2" w:rsidRDefault="002A68B2" w:rsidP="0071710D">
      <w:pPr>
        <w:pStyle w:val="bParagraphtext"/>
        <w:numPr>
          <w:ilvl w:val="0"/>
          <w:numId w:val="8"/>
        </w:numPr>
        <w:tabs>
          <w:tab w:val="clear" w:pos="426"/>
          <w:tab w:val="clear" w:pos="720"/>
          <w:tab w:val="num" w:pos="709"/>
        </w:tabs>
        <w:ind w:left="567" w:hanging="567"/>
        <w:jc w:val="both"/>
      </w:pPr>
      <w:r w:rsidRPr="000D1155">
        <w:t>Each year as part of the service planning process, all service risks are reviewed, those no longer relevant are deleted, and any new ones are added.</w:t>
      </w:r>
      <w:r>
        <w:t xml:space="preserve"> </w:t>
      </w:r>
    </w:p>
    <w:p w:rsidR="002A68B2" w:rsidRPr="00B53EF8" w:rsidRDefault="002A68B2" w:rsidP="0071710D">
      <w:pPr>
        <w:pStyle w:val="bParagraphtext"/>
        <w:numPr>
          <w:ilvl w:val="0"/>
          <w:numId w:val="8"/>
        </w:numPr>
        <w:tabs>
          <w:tab w:val="clear" w:pos="426"/>
          <w:tab w:val="clear" w:pos="720"/>
        </w:tabs>
        <w:ind w:left="567" w:hanging="567"/>
        <w:jc w:val="both"/>
      </w:pPr>
      <w:r w:rsidRPr="00B53EF8">
        <w:t xml:space="preserve">The table below shows the number of service risks as at </w:t>
      </w:r>
      <w:r>
        <w:t>3</w:t>
      </w:r>
      <w:r w:rsidR="00EE7A0D">
        <w:t xml:space="preserve">1 </w:t>
      </w:r>
      <w:r w:rsidR="00425F63">
        <w:t>March</w:t>
      </w:r>
      <w:r w:rsidR="00FC3061">
        <w:t xml:space="preserve"> </w:t>
      </w:r>
      <w:r>
        <w:t>compared</w:t>
      </w:r>
      <w:r w:rsidRPr="00B53EF8">
        <w:t xml:space="preserve"> with the last 12 months. </w:t>
      </w:r>
    </w:p>
    <w:p w:rsidR="002A68B2" w:rsidRDefault="002A68B2" w:rsidP="002A68B2">
      <w:pPr>
        <w:rPr>
          <w:rFonts w:cs="Arial"/>
        </w:rPr>
      </w:pPr>
    </w:p>
    <w:tbl>
      <w:tblPr>
        <w:tblW w:w="6783" w:type="dxa"/>
        <w:tblInd w:w="720" w:type="dxa"/>
        <w:tblLayout w:type="fixed"/>
        <w:tblLook w:val="04A0" w:firstRow="1" w:lastRow="0" w:firstColumn="1" w:lastColumn="0" w:noHBand="0" w:noVBand="1"/>
      </w:tblPr>
      <w:tblGrid>
        <w:gridCol w:w="2180"/>
        <w:gridCol w:w="1084"/>
        <w:gridCol w:w="1084"/>
        <w:gridCol w:w="1159"/>
        <w:gridCol w:w="1276"/>
      </w:tblGrid>
      <w:tr w:rsidR="002A68B2" w:rsidRPr="005B360C" w:rsidTr="00415D64">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jc w:val="center"/>
              <w:rPr>
                <w:rFonts w:cs="Arial"/>
                <w:b/>
                <w:bCs/>
              </w:rPr>
            </w:pPr>
            <w:r w:rsidRPr="005B360C">
              <w:rPr>
                <w:rFonts w:cs="Arial"/>
                <w:b/>
                <w:bCs/>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EE7A0D" w:rsidP="00415D64">
            <w:pPr>
              <w:jc w:val="center"/>
              <w:rPr>
                <w:rFonts w:cs="Arial"/>
                <w:b/>
                <w:bCs/>
              </w:rPr>
            </w:pPr>
            <w:r w:rsidRPr="005B360C">
              <w:rPr>
                <w:rFonts w:cs="Arial"/>
                <w:b/>
                <w:bCs/>
              </w:rPr>
              <w:t>Q</w:t>
            </w:r>
            <w:r w:rsidR="00425F63">
              <w:rPr>
                <w:rFonts w:cs="Arial"/>
                <w:b/>
                <w:bCs/>
              </w:rPr>
              <w:t>1</w:t>
            </w:r>
          </w:p>
          <w:p w:rsidR="002A68B2" w:rsidRPr="005B360C" w:rsidRDefault="002A68B2">
            <w:pPr>
              <w:jc w:val="center"/>
              <w:rPr>
                <w:rFonts w:cs="Arial"/>
                <w:b/>
                <w:bCs/>
              </w:rPr>
            </w:pPr>
            <w:r w:rsidRPr="005B360C">
              <w:rPr>
                <w:rFonts w:cs="Arial"/>
                <w:b/>
                <w:bCs/>
              </w:rPr>
              <w:t>20</w:t>
            </w:r>
            <w:r>
              <w:rPr>
                <w:rFonts w:cs="Arial"/>
                <w:b/>
                <w:bCs/>
              </w:rPr>
              <w:t>2</w:t>
            </w:r>
            <w:r w:rsidR="00425F63">
              <w:rPr>
                <w:rFonts w:cs="Arial"/>
                <w:b/>
                <w:bCs/>
              </w:rPr>
              <w:t>1</w:t>
            </w:r>
            <w:r w:rsidRPr="005B360C">
              <w:rPr>
                <w:rFonts w:cs="Arial"/>
                <w:b/>
                <w:bCs/>
              </w:rPr>
              <w:t>/</w:t>
            </w:r>
            <w:r>
              <w:rPr>
                <w:rFonts w:cs="Arial"/>
                <w:b/>
                <w:bCs/>
              </w:rPr>
              <w:t>2</w:t>
            </w:r>
            <w:r w:rsidR="00425F63">
              <w:rPr>
                <w:rFonts w:cs="Arial"/>
                <w:b/>
                <w:bCs/>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2A68B2" w:rsidP="00415D64">
            <w:pPr>
              <w:jc w:val="center"/>
              <w:rPr>
                <w:rFonts w:cs="Arial"/>
                <w:b/>
                <w:bCs/>
              </w:rPr>
            </w:pPr>
            <w:r w:rsidRPr="005B360C">
              <w:rPr>
                <w:rFonts w:cs="Arial"/>
                <w:b/>
                <w:bCs/>
              </w:rPr>
              <w:t>Q</w:t>
            </w:r>
            <w:r w:rsidR="00425F63">
              <w:rPr>
                <w:rFonts w:cs="Arial"/>
                <w:b/>
                <w:bCs/>
              </w:rPr>
              <w:t>2</w:t>
            </w:r>
          </w:p>
          <w:p w:rsidR="002A68B2" w:rsidRPr="005B360C" w:rsidRDefault="002A68B2">
            <w:pPr>
              <w:jc w:val="center"/>
              <w:rPr>
                <w:rFonts w:cs="Arial"/>
                <w:b/>
                <w:bCs/>
              </w:rPr>
            </w:pPr>
            <w:r w:rsidRPr="005B360C">
              <w:rPr>
                <w:rFonts w:cs="Arial"/>
                <w:b/>
                <w:bCs/>
              </w:rPr>
              <w:t>20</w:t>
            </w:r>
            <w:r>
              <w:rPr>
                <w:rFonts w:cs="Arial"/>
                <w:b/>
                <w:bCs/>
              </w:rPr>
              <w:t>2</w:t>
            </w:r>
            <w:r w:rsidR="00671CB7">
              <w:rPr>
                <w:rFonts w:cs="Arial"/>
                <w:b/>
                <w:bCs/>
              </w:rPr>
              <w:t>1</w:t>
            </w:r>
            <w:r w:rsidRPr="005B360C">
              <w:rPr>
                <w:rFonts w:cs="Arial"/>
                <w:b/>
                <w:bCs/>
              </w:rPr>
              <w:t>/</w:t>
            </w:r>
            <w:r>
              <w:rPr>
                <w:rFonts w:cs="Arial"/>
                <w:b/>
                <w:bCs/>
              </w:rPr>
              <w:t>2</w:t>
            </w:r>
            <w:r w:rsidR="00671CB7">
              <w:rPr>
                <w:rFonts w:cs="Arial"/>
                <w:b/>
                <w:bCs/>
              </w:rPr>
              <w:t>2</w:t>
            </w:r>
          </w:p>
        </w:tc>
        <w:tc>
          <w:tcPr>
            <w:tcW w:w="11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2A68B2" w:rsidP="00415D64">
            <w:pPr>
              <w:jc w:val="center"/>
              <w:rPr>
                <w:rFonts w:cs="Arial"/>
                <w:b/>
                <w:bCs/>
              </w:rPr>
            </w:pPr>
            <w:r w:rsidRPr="005B360C">
              <w:rPr>
                <w:rFonts w:cs="Arial"/>
                <w:b/>
                <w:bCs/>
              </w:rPr>
              <w:t>Q</w:t>
            </w:r>
            <w:r w:rsidR="00425F63">
              <w:rPr>
                <w:rFonts w:cs="Arial"/>
                <w:b/>
                <w:bCs/>
              </w:rPr>
              <w:t>3</w:t>
            </w:r>
          </w:p>
          <w:p w:rsidR="002A68B2" w:rsidRPr="005B360C" w:rsidRDefault="002A68B2">
            <w:pPr>
              <w:jc w:val="center"/>
              <w:rPr>
                <w:rFonts w:cs="Arial"/>
                <w:b/>
                <w:bCs/>
              </w:rPr>
            </w:pPr>
            <w:r w:rsidRPr="005B360C">
              <w:rPr>
                <w:rFonts w:cs="Arial"/>
                <w:b/>
                <w:bCs/>
              </w:rPr>
              <w:t>20</w:t>
            </w:r>
            <w:r>
              <w:rPr>
                <w:rFonts w:cs="Arial"/>
                <w:b/>
                <w:bCs/>
              </w:rPr>
              <w:t>2</w:t>
            </w:r>
            <w:r w:rsidR="005D18A1">
              <w:rPr>
                <w:rFonts w:cs="Arial"/>
                <w:b/>
                <w:bCs/>
              </w:rPr>
              <w:t>1</w:t>
            </w:r>
            <w:r w:rsidRPr="005B360C">
              <w:rPr>
                <w:rFonts w:cs="Arial"/>
                <w:b/>
                <w:bCs/>
              </w:rPr>
              <w:t>/</w:t>
            </w:r>
            <w:r w:rsidR="005D18A1">
              <w:rPr>
                <w:rFonts w:cs="Arial"/>
                <w:b/>
                <w:bCs/>
              </w:rPr>
              <w:t>2</w:t>
            </w:r>
            <w:r w:rsidR="00671CB7">
              <w:rPr>
                <w:rFonts w:cs="Arial"/>
                <w:b/>
                <w:bCs/>
              </w:rPr>
              <w:t>2</w:t>
            </w:r>
          </w:p>
        </w:tc>
        <w:tc>
          <w:tcPr>
            <w:tcW w:w="1276" w:type="dxa"/>
            <w:tcBorders>
              <w:top w:val="single" w:sz="8" w:space="0" w:color="000000"/>
              <w:left w:val="single" w:sz="8" w:space="0" w:color="000000"/>
              <w:bottom w:val="single" w:sz="8" w:space="0" w:color="000000"/>
              <w:right w:val="single" w:sz="8" w:space="0" w:color="000000"/>
            </w:tcBorders>
          </w:tcPr>
          <w:p w:rsidR="002A68B2" w:rsidRDefault="002A68B2" w:rsidP="00415D64">
            <w:pPr>
              <w:jc w:val="center"/>
              <w:rPr>
                <w:rFonts w:cs="Arial"/>
                <w:b/>
                <w:bCs/>
              </w:rPr>
            </w:pPr>
            <w:r>
              <w:rPr>
                <w:rFonts w:cs="Arial"/>
                <w:b/>
                <w:bCs/>
              </w:rPr>
              <w:t>Q</w:t>
            </w:r>
            <w:r w:rsidR="00425F63">
              <w:rPr>
                <w:rFonts w:cs="Arial"/>
                <w:b/>
                <w:bCs/>
              </w:rPr>
              <w:t>4</w:t>
            </w:r>
          </w:p>
          <w:p w:rsidR="002A68B2" w:rsidRDefault="002A68B2" w:rsidP="00FC3061">
            <w:pPr>
              <w:jc w:val="center"/>
              <w:rPr>
                <w:rFonts w:cs="Arial"/>
                <w:b/>
                <w:bCs/>
              </w:rPr>
            </w:pPr>
            <w:r w:rsidRPr="005B360C">
              <w:rPr>
                <w:rFonts w:cs="Arial"/>
                <w:b/>
                <w:bCs/>
              </w:rPr>
              <w:t>20</w:t>
            </w:r>
            <w:r>
              <w:rPr>
                <w:rFonts w:cs="Arial"/>
                <w:b/>
                <w:bCs/>
              </w:rPr>
              <w:t>2</w:t>
            </w:r>
            <w:r w:rsidR="00FC3061">
              <w:rPr>
                <w:rFonts w:cs="Arial"/>
                <w:b/>
                <w:bCs/>
              </w:rPr>
              <w:t>1</w:t>
            </w:r>
            <w:r w:rsidRPr="005B360C">
              <w:rPr>
                <w:rFonts w:cs="Arial"/>
                <w:b/>
                <w:bCs/>
              </w:rPr>
              <w:t>/</w:t>
            </w:r>
            <w:r>
              <w:rPr>
                <w:rFonts w:cs="Arial"/>
                <w:b/>
                <w:bCs/>
              </w:rPr>
              <w:t>2</w:t>
            </w:r>
            <w:r w:rsidR="00FC3061">
              <w:rPr>
                <w:rFonts w:cs="Arial"/>
                <w:b/>
                <w:bCs/>
              </w:rPr>
              <w:t>2</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425F63">
            <w:pPr>
              <w:jc w:val="right"/>
              <w:rPr>
                <w:rFonts w:cs="Arial"/>
              </w:rPr>
            </w:pPr>
            <w:r>
              <w:rPr>
                <w:rFonts w:cs="Arial"/>
              </w:rPr>
              <w:t>9</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425F63">
            <w:pPr>
              <w:jc w:val="right"/>
              <w:rPr>
                <w:rFonts w:cs="Arial"/>
              </w:rPr>
            </w:pPr>
            <w:r>
              <w:rPr>
                <w:rFonts w:cs="Arial"/>
              </w:rPr>
              <w:t>8</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425F63">
            <w:pPr>
              <w:jc w:val="right"/>
              <w:rPr>
                <w:rFonts w:cs="Arial"/>
              </w:rPr>
            </w:pPr>
            <w:r>
              <w:rPr>
                <w:rFonts w:cs="Arial"/>
              </w:rPr>
              <w:t>6</w:t>
            </w:r>
          </w:p>
        </w:tc>
        <w:tc>
          <w:tcPr>
            <w:tcW w:w="1276" w:type="dxa"/>
            <w:tcBorders>
              <w:top w:val="single" w:sz="8" w:space="0" w:color="000000"/>
              <w:left w:val="nil"/>
              <w:bottom w:val="single" w:sz="8" w:space="0" w:color="000000"/>
              <w:right w:val="single" w:sz="8" w:space="0" w:color="000000"/>
            </w:tcBorders>
            <w:vAlign w:val="center"/>
          </w:tcPr>
          <w:p w:rsidR="002A68B2" w:rsidRDefault="006C140D" w:rsidP="00275E79">
            <w:pPr>
              <w:jc w:val="right"/>
              <w:rPr>
                <w:rFonts w:cs="Arial"/>
              </w:rPr>
            </w:pPr>
            <w:r>
              <w:rPr>
                <w:rFonts w:cs="Arial"/>
              </w:rPr>
              <w:t>7</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671CB7">
            <w:pPr>
              <w:jc w:val="right"/>
              <w:rPr>
                <w:rFonts w:cs="Arial"/>
              </w:rPr>
            </w:pPr>
            <w:r>
              <w:rPr>
                <w:rFonts w:cs="Arial"/>
              </w:rPr>
              <w:t>4</w:t>
            </w:r>
            <w:r w:rsidR="00425F63">
              <w:rPr>
                <w:rFonts w:cs="Arial"/>
              </w:rPr>
              <w:t>8</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425F63">
            <w:pPr>
              <w:jc w:val="right"/>
              <w:rPr>
                <w:rFonts w:cs="Arial"/>
              </w:rPr>
            </w:pPr>
            <w:r>
              <w:rPr>
                <w:rFonts w:cs="Arial"/>
              </w:rPr>
              <w:t>49</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425F63">
            <w:pPr>
              <w:jc w:val="right"/>
              <w:rPr>
                <w:rFonts w:cs="Arial"/>
              </w:rPr>
            </w:pPr>
            <w:r>
              <w:rPr>
                <w:rFonts w:cs="Arial"/>
              </w:rPr>
              <w:t>50</w:t>
            </w:r>
          </w:p>
        </w:tc>
        <w:tc>
          <w:tcPr>
            <w:tcW w:w="1276" w:type="dxa"/>
            <w:tcBorders>
              <w:top w:val="single" w:sz="8" w:space="0" w:color="000000"/>
              <w:left w:val="nil"/>
              <w:bottom w:val="single" w:sz="8" w:space="0" w:color="000000"/>
              <w:right w:val="single" w:sz="8" w:space="0" w:color="000000"/>
            </w:tcBorders>
            <w:vAlign w:val="center"/>
          </w:tcPr>
          <w:p w:rsidR="002A68B2" w:rsidRDefault="006C140D">
            <w:pPr>
              <w:jc w:val="right"/>
              <w:rPr>
                <w:rFonts w:cs="Arial"/>
              </w:rPr>
            </w:pPr>
            <w:r>
              <w:rPr>
                <w:rFonts w:cs="Arial"/>
              </w:rPr>
              <w:t>48</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425F63">
            <w:pPr>
              <w:jc w:val="right"/>
              <w:rPr>
                <w:rFonts w:cs="Arial"/>
              </w:rPr>
            </w:pPr>
            <w:r>
              <w:rPr>
                <w:rFonts w:cs="Arial"/>
              </w:rPr>
              <w:t>8</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425F63">
            <w:pPr>
              <w:jc w:val="right"/>
              <w:rPr>
                <w:rFonts w:cs="Arial"/>
              </w:rPr>
            </w:pPr>
            <w:r>
              <w:rPr>
                <w:rFonts w:cs="Arial"/>
              </w:rPr>
              <w:t>10</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671CB7">
            <w:pPr>
              <w:jc w:val="right"/>
              <w:rPr>
                <w:rFonts w:cs="Arial"/>
              </w:rPr>
            </w:pPr>
            <w:r>
              <w:rPr>
                <w:rFonts w:cs="Arial"/>
              </w:rPr>
              <w:t>1</w:t>
            </w:r>
            <w:r w:rsidR="00425F63">
              <w:rPr>
                <w:rFonts w:cs="Arial"/>
              </w:rPr>
              <w:t>2</w:t>
            </w:r>
          </w:p>
        </w:tc>
        <w:tc>
          <w:tcPr>
            <w:tcW w:w="1276" w:type="dxa"/>
            <w:tcBorders>
              <w:top w:val="single" w:sz="8" w:space="0" w:color="000000"/>
              <w:left w:val="nil"/>
              <w:bottom w:val="single" w:sz="8" w:space="0" w:color="000000"/>
              <w:right w:val="single" w:sz="8" w:space="0" w:color="000000"/>
            </w:tcBorders>
            <w:vAlign w:val="center"/>
          </w:tcPr>
          <w:p w:rsidR="002A68B2" w:rsidRDefault="006C140D" w:rsidP="008B4A41">
            <w:pPr>
              <w:jc w:val="right"/>
              <w:rPr>
                <w:rFonts w:cs="Arial"/>
              </w:rPr>
            </w:pPr>
            <w:r>
              <w:rPr>
                <w:rFonts w:cs="Arial"/>
              </w:rPr>
              <w:t>1</w:t>
            </w:r>
            <w:r w:rsidR="008B4A41">
              <w:rPr>
                <w:rFonts w:cs="Arial"/>
              </w:rPr>
              <w:t>3</w:t>
            </w:r>
          </w:p>
        </w:tc>
      </w:tr>
      <w:tr w:rsidR="002A68B2" w:rsidRPr="005B360C" w:rsidTr="00415D64">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2A68B2" w:rsidRPr="005B360C" w:rsidRDefault="002A68B2" w:rsidP="00415D64">
            <w:pPr>
              <w:rPr>
                <w:rFonts w:cs="Arial"/>
                <w:b/>
                <w:bCs/>
              </w:rPr>
            </w:pPr>
            <w:r w:rsidRPr="005B360C">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2A68B2" w:rsidRPr="005B360C" w:rsidRDefault="00671CB7">
            <w:pPr>
              <w:jc w:val="right"/>
              <w:rPr>
                <w:rFonts w:cs="Arial"/>
                <w:b/>
                <w:bCs/>
              </w:rPr>
            </w:pPr>
            <w:r>
              <w:rPr>
                <w:rFonts w:cs="Arial"/>
                <w:b/>
                <w:bCs/>
              </w:rPr>
              <w:t>65</w:t>
            </w:r>
          </w:p>
        </w:tc>
        <w:tc>
          <w:tcPr>
            <w:tcW w:w="1084" w:type="dxa"/>
            <w:tcBorders>
              <w:top w:val="nil"/>
              <w:left w:val="nil"/>
              <w:bottom w:val="single" w:sz="8" w:space="0" w:color="000000"/>
              <w:right w:val="single" w:sz="8" w:space="0" w:color="000000"/>
            </w:tcBorders>
            <w:shd w:val="clear" w:color="000000" w:fill="D9D9D9"/>
            <w:vAlign w:val="center"/>
            <w:hideMark/>
          </w:tcPr>
          <w:p w:rsidR="002A68B2" w:rsidRPr="005B360C" w:rsidRDefault="005D18A1">
            <w:pPr>
              <w:jc w:val="right"/>
              <w:rPr>
                <w:rFonts w:cs="Arial"/>
                <w:b/>
                <w:bCs/>
              </w:rPr>
            </w:pPr>
            <w:r>
              <w:rPr>
                <w:rFonts w:cs="Arial"/>
                <w:b/>
                <w:bCs/>
              </w:rPr>
              <w:t>6</w:t>
            </w:r>
            <w:r w:rsidR="00425F63">
              <w:rPr>
                <w:rFonts w:cs="Arial"/>
                <w:b/>
                <w:bCs/>
              </w:rPr>
              <w:t>7</w:t>
            </w:r>
          </w:p>
        </w:tc>
        <w:tc>
          <w:tcPr>
            <w:tcW w:w="1159" w:type="dxa"/>
            <w:tcBorders>
              <w:top w:val="nil"/>
              <w:left w:val="nil"/>
              <w:bottom w:val="single" w:sz="8" w:space="0" w:color="000000"/>
              <w:right w:val="single" w:sz="8" w:space="0" w:color="000000"/>
            </w:tcBorders>
            <w:shd w:val="clear" w:color="000000" w:fill="D9D9D9"/>
            <w:vAlign w:val="center"/>
            <w:hideMark/>
          </w:tcPr>
          <w:p w:rsidR="002A68B2" w:rsidRPr="005B360C" w:rsidRDefault="00FC3061">
            <w:pPr>
              <w:jc w:val="right"/>
              <w:rPr>
                <w:rFonts w:cs="Arial"/>
                <w:b/>
                <w:bCs/>
              </w:rPr>
            </w:pPr>
            <w:r>
              <w:rPr>
                <w:rFonts w:cs="Arial"/>
                <w:b/>
                <w:bCs/>
              </w:rPr>
              <w:t>6</w:t>
            </w:r>
            <w:r w:rsidR="00425F63">
              <w:rPr>
                <w:rFonts w:cs="Arial"/>
                <w:b/>
                <w:bCs/>
              </w:rPr>
              <w:t>8</w:t>
            </w:r>
          </w:p>
        </w:tc>
        <w:tc>
          <w:tcPr>
            <w:tcW w:w="1276" w:type="dxa"/>
            <w:tcBorders>
              <w:top w:val="single" w:sz="8" w:space="0" w:color="000000"/>
              <w:left w:val="nil"/>
              <w:bottom w:val="single" w:sz="8" w:space="0" w:color="000000"/>
              <w:right w:val="single" w:sz="8" w:space="0" w:color="000000"/>
            </w:tcBorders>
            <w:shd w:val="clear" w:color="000000" w:fill="D9D9D9"/>
            <w:vAlign w:val="center"/>
          </w:tcPr>
          <w:p w:rsidR="002A68B2" w:rsidRDefault="008B4A41">
            <w:pPr>
              <w:jc w:val="right"/>
              <w:rPr>
                <w:rFonts w:cs="Arial"/>
                <w:b/>
              </w:rPr>
            </w:pPr>
            <w:r>
              <w:rPr>
                <w:rFonts w:cs="Arial"/>
                <w:b/>
              </w:rPr>
              <w:t>68</w:t>
            </w:r>
            <w:r w:rsidR="002A68B2">
              <w:rPr>
                <w:rFonts w:cs="Arial"/>
                <w:b/>
              </w:rPr>
              <w:t xml:space="preserve"> </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425F63">
            <w:pPr>
              <w:jc w:val="right"/>
              <w:rPr>
                <w:rFonts w:cs="Arial"/>
              </w:rPr>
            </w:pPr>
            <w:r>
              <w:rPr>
                <w:rFonts w:cs="Arial"/>
              </w:rPr>
              <w:t>0</w:t>
            </w:r>
            <w:r w:rsidR="002A68B2" w:rsidRPr="005B360C">
              <w:rPr>
                <w:rFonts w:cs="Arial"/>
              </w:rPr>
              <w:t> </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425F63">
            <w:pPr>
              <w:jc w:val="right"/>
              <w:rPr>
                <w:rFonts w:cs="Arial"/>
              </w:rPr>
            </w:pPr>
            <w:r>
              <w:rPr>
                <w:rFonts w:cs="Arial"/>
              </w:rPr>
              <w:t>2</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425F63">
            <w:pPr>
              <w:jc w:val="right"/>
              <w:rPr>
                <w:rFonts w:cs="Arial"/>
              </w:rPr>
            </w:pPr>
            <w:r>
              <w:rPr>
                <w:rFonts w:cs="Arial"/>
              </w:rPr>
              <w:t>1</w:t>
            </w:r>
          </w:p>
        </w:tc>
        <w:tc>
          <w:tcPr>
            <w:tcW w:w="1276" w:type="dxa"/>
            <w:tcBorders>
              <w:top w:val="single" w:sz="8" w:space="0" w:color="000000"/>
              <w:left w:val="nil"/>
              <w:bottom w:val="single" w:sz="8" w:space="0" w:color="000000"/>
              <w:right w:val="single" w:sz="8" w:space="0" w:color="000000"/>
            </w:tcBorders>
            <w:vAlign w:val="center"/>
          </w:tcPr>
          <w:p w:rsidR="002A68B2" w:rsidRDefault="008B4A41">
            <w:pPr>
              <w:jc w:val="right"/>
              <w:rPr>
                <w:rFonts w:cs="Arial"/>
                <w:bCs/>
              </w:rPr>
            </w:pPr>
            <w:r>
              <w:rPr>
                <w:rFonts w:cs="Arial"/>
                <w:bCs/>
              </w:rPr>
              <w:t>0</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5D18A1" w:rsidP="00275E79">
            <w:pPr>
              <w:jc w:val="right"/>
              <w:rPr>
                <w:rFonts w:cs="Arial"/>
              </w:rPr>
            </w:pPr>
            <w:r>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FC3061" w:rsidP="00FC3061">
            <w:pPr>
              <w:jc w:val="right"/>
              <w:rPr>
                <w:rFonts w:cs="Arial"/>
              </w:rPr>
            </w:pPr>
            <w:r>
              <w:rPr>
                <w:rFonts w:cs="Arial"/>
              </w:rPr>
              <w:t>0</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2A68B2" w:rsidP="00415D64">
            <w:pPr>
              <w:jc w:val="right"/>
              <w:rPr>
                <w:rFonts w:cs="Arial"/>
              </w:rPr>
            </w:pPr>
            <w:r>
              <w:rPr>
                <w:rFonts w:cs="Arial"/>
              </w:rPr>
              <w:t>0</w:t>
            </w:r>
          </w:p>
        </w:tc>
        <w:tc>
          <w:tcPr>
            <w:tcW w:w="1276" w:type="dxa"/>
            <w:tcBorders>
              <w:top w:val="single" w:sz="8" w:space="0" w:color="000000"/>
              <w:left w:val="nil"/>
              <w:bottom w:val="single" w:sz="8" w:space="0" w:color="000000"/>
              <w:right w:val="single" w:sz="8" w:space="0" w:color="000000"/>
            </w:tcBorders>
            <w:vAlign w:val="center"/>
          </w:tcPr>
          <w:p w:rsidR="002A68B2" w:rsidRDefault="008B4A41" w:rsidP="00415D64">
            <w:pPr>
              <w:jc w:val="right"/>
              <w:rPr>
                <w:rFonts w:cs="Arial"/>
              </w:rPr>
            </w:pPr>
            <w:r>
              <w:rPr>
                <w:rFonts w:cs="Arial"/>
              </w:rPr>
              <w:t>0</w:t>
            </w:r>
          </w:p>
        </w:tc>
      </w:tr>
    </w:tbl>
    <w:p w:rsidR="002A68B2" w:rsidRDefault="002A68B2" w:rsidP="002A68B2">
      <w:pPr>
        <w:rPr>
          <w:rFonts w:cs="Arial"/>
        </w:rPr>
      </w:pPr>
    </w:p>
    <w:p w:rsidR="002A68B2" w:rsidRPr="00F00DE8" w:rsidRDefault="002A68B2" w:rsidP="0071710D">
      <w:pPr>
        <w:pStyle w:val="bParagraphtext"/>
        <w:numPr>
          <w:ilvl w:val="0"/>
          <w:numId w:val="8"/>
        </w:numPr>
        <w:tabs>
          <w:tab w:val="clear" w:pos="426"/>
          <w:tab w:val="clear" w:pos="720"/>
          <w:tab w:val="num" w:pos="709"/>
        </w:tabs>
        <w:ind w:left="567" w:hanging="567"/>
      </w:pPr>
      <w:r w:rsidRPr="007B753F">
        <w:t>The</w:t>
      </w:r>
      <w:r>
        <w:t xml:space="preserve"> number of Red risks </w:t>
      </w:r>
      <w:r w:rsidR="00861170">
        <w:t xml:space="preserve">has </w:t>
      </w:r>
      <w:r w:rsidR="00F35889">
        <w:t>increased to seven.</w:t>
      </w:r>
    </w:p>
    <w:p w:rsidR="002A68B2" w:rsidRPr="00F00DE8" w:rsidRDefault="002A68B2" w:rsidP="0071710D">
      <w:pPr>
        <w:pStyle w:val="bParagraphtext"/>
        <w:numPr>
          <w:ilvl w:val="0"/>
          <w:numId w:val="8"/>
        </w:numPr>
        <w:tabs>
          <w:tab w:val="clear" w:pos="426"/>
          <w:tab w:val="clear" w:pos="720"/>
          <w:tab w:val="num" w:pos="709"/>
        </w:tabs>
        <w:ind w:left="567" w:hanging="567"/>
      </w:pPr>
      <w:r>
        <w:t>Details of the Red risks are as follows:</w:t>
      </w:r>
    </w:p>
    <w:p w:rsidR="002A68B2" w:rsidRDefault="002A68B2" w:rsidP="0071710D">
      <w:pPr>
        <w:pStyle w:val="Bulletpoints"/>
        <w:ind w:left="993" w:hanging="426"/>
        <w:jc w:val="both"/>
      </w:pPr>
      <w:r w:rsidRPr="00516995">
        <w:rPr>
          <w:b/>
        </w:rPr>
        <w:t xml:space="preserve">Financial Services </w:t>
      </w:r>
      <w:r w:rsidRPr="00516995">
        <w:t xml:space="preserve">– this relates to Management effectiveness and employee ability to deliver services due to the Covid-19 pandemic. This has increased workloads and the volume of emails, which together with </w:t>
      </w:r>
      <w:r w:rsidR="00143C77">
        <w:t>the many on</w:t>
      </w:r>
      <w:r w:rsidRPr="00516995">
        <w:t xml:space="preserve">line meetings is placing excessive pressure and demands on staff and managers. </w:t>
      </w:r>
    </w:p>
    <w:p w:rsidR="00A603BB" w:rsidRPr="00A603BB" w:rsidRDefault="00A603BB" w:rsidP="0071710D">
      <w:pPr>
        <w:pStyle w:val="Bulletpoints"/>
        <w:numPr>
          <w:ilvl w:val="0"/>
          <w:numId w:val="0"/>
        </w:numPr>
        <w:ind w:left="993"/>
        <w:jc w:val="both"/>
      </w:pPr>
      <w:r w:rsidRPr="00A603BB">
        <w:t>This risk is entirely with in the control of the Council, although it cannot be fully controlled within the service area itself.</w:t>
      </w:r>
      <w:r>
        <w:t xml:space="preserve">  </w:t>
      </w:r>
    </w:p>
    <w:p w:rsidR="00415D64" w:rsidRDefault="00275E79" w:rsidP="0071710D">
      <w:pPr>
        <w:pStyle w:val="Bulletpoints"/>
        <w:ind w:left="993" w:hanging="426"/>
        <w:jc w:val="both"/>
      </w:pPr>
      <w:r>
        <w:rPr>
          <w:b/>
        </w:rPr>
        <w:t xml:space="preserve">Planning </w:t>
      </w:r>
      <w:r>
        <w:t>– this relates to delays to Council p</w:t>
      </w:r>
      <w:r w:rsidR="001F64C2">
        <w:t xml:space="preserve">rojects caused by outside agencies. </w:t>
      </w:r>
      <w:r w:rsidR="00A603BB">
        <w:t xml:space="preserve">The </w:t>
      </w:r>
      <w:r w:rsidR="00143C77">
        <w:t>probability</w:t>
      </w:r>
      <w:r w:rsidR="00A603BB">
        <w:t xml:space="preserve"> of this risk occurring can only be influenced to a limited extent through g</w:t>
      </w:r>
      <w:r w:rsidR="001F64C2">
        <w:t>reater collaboration on key projects</w:t>
      </w:r>
      <w:r w:rsidR="00A603BB">
        <w:t xml:space="preserve"> but the impact can be influenced to a higher degree</w:t>
      </w:r>
      <w:r w:rsidR="001F64C2">
        <w:t xml:space="preserve"> with a</w:t>
      </w:r>
      <w:r w:rsidR="00E83A64">
        <w:t xml:space="preserve"> proactive</w:t>
      </w:r>
      <w:r w:rsidR="001F64C2">
        <w:t xml:space="preserve"> approach to intervention and communications</w:t>
      </w:r>
      <w:r w:rsidR="00415D64">
        <w:t>.</w:t>
      </w:r>
    </w:p>
    <w:p w:rsidR="00A83B42" w:rsidRDefault="00E83A64" w:rsidP="0071710D">
      <w:pPr>
        <w:pStyle w:val="Bulletpoints"/>
        <w:numPr>
          <w:ilvl w:val="0"/>
          <w:numId w:val="0"/>
        </w:numPr>
        <w:ind w:left="993"/>
        <w:jc w:val="both"/>
      </w:pPr>
      <w:r w:rsidRPr="00AA378B">
        <w:rPr>
          <w:b/>
        </w:rPr>
        <w:t xml:space="preserve">Planning </w:t>
      </w:r>
      <w:r>
        <w:t>– this relates to Government legislation resulting in substantial changes to the planning system</w:t>
      </w:r>
      <w:r w:rsidR="00096A60">
        <w:t xml:space="preserve"> leading </w:t>
      </w:r>
      <w:r>
        <w:t xml:space="preserve">to the need to redesign processes and </w:t>
      </w:r>
      <w:r>
        <w:lastRenderedPageBreak/>
        <w:t>procedure</w:t>
      </w:r>
      <w:r w:rsidR="00096A60">
        <w:t>s</w:t>
      </w:r>
      <w:r>
        <w:t xml:space="preserve">.  </w:t>
      </w:r>
      <w:r w:rsidR="00AA378B">
        <w:t>The probability of this risk occurring is out of the Council’s control, except through response to consultations, however the impact of the risk can be mitigated by m</w:t>
      </w:r>
      <w:r w:rsidR="00AA378B" w:rsidRPr="00AA378B">
        <w:t>aintain</w:t>
      </w:r>
      <w:r w:rsidR="00AA378B">
        <w:t>ing</w:t>
      </w:r>
      <w:r w:rsidR="00AA378B" w:rsidRPr="00AA378B">
        <w:t xml:space="preserve"> responsiveness and plan for change</w:t>
      </w:r>
      <w:r w:rsidR="00AA378B">
        <w:t>.</w:t>
      </w:r>
    </w:p>
    <w:p w:rsidR="00A83B42" w:rsidRPr="00F00DE8" w:rsidRDefault="004C66C9" w:rsidP="0071710D">
      <w:pPr>
        <w:pStyle w:val="Bulletpoints"/>
        <w:numPr>
          <w:ilvl w:val="0"/>
          <w:numId w:val="0"/>
        </w:numPr>
        <w:ind w:left="993"/>
        <w:jc w:val="both"/>
      </w:pPr>
      <w:r w:rsidRPr="00AA378B">
        <w:rPr>
          <w:b/>
        </w:rPr>
        <w:t xml:space="preserve">Planning </w:t>
      </w:r>
      <w:r>
        <w:t>– this relates to New Partnership Challenges such as being unable to secure agreements in order to deliver work plan commitment</w:t>
      </w:r>
      <w:r w:rsidR="00B13143">
        <w:t>s</w:t>
      </w:r>
      <w:r>
        <w:t xml:space="preserve"> or reach agreement with partners which can potentially result in the partnership failing. </w:t>
      </w:r>
      <w:r w:rsidR="00AA378B">
        <w:t xml:space="preserve"> The Council can liaise with partners and partner council</w:t>
      </w:r>
      <w:r w:rsidR="00125E0D">
        <w:t>s</w:t>
      </w:r>
      <w:r w:rsidR="00AA378B">
        <w:t xml:space="preserve"> and discuss potential resolutions, however the Council cannot entirely control this risk.</w:t>
      </w:r>
    </w:p>
    <w:p w:rsidR="00415D64" w:rsidRDefault="00415D64" w:rsidP="0071710D">
      <w:pPr>
        <w:pStyle w:val="Bulletpoints"/>
        <w:ind w:left="993" w:hanging="426"/>
        <w:jc w:val="both"/>
      </w:pPr>
      <w:r w:rsidRPr="00415D64">
        <w:rPr>
          <w:b/>
        </w:rPr>
        <w:t xml:space="preserve">Regeneration &amp; Major Projects </w:t>
      </w:r>
      <w:r>
        <w:t>– this relates to Support Team Capacity</w:t>
      </w:r>
      <w:r w:rsidR="00291CC3">
        <w:t xml:space="preserve"> which can cause delays to projects</w:t>
      </w:r>
      <w:r>
        <w:t>. Resource pressures are extremely high</w:t>
      </w:r>
      <w:r w:rsidR="004C66C9">
        <w:t xml:space="preserve"> and additional resource has been agreed for Legal, Finance and the Property Team to support the delivery of projects.</w:t>
      </w:r>
    </w:p>
    <w:p w:rsidR="00A83B42" w:rsidRDefault="00415D64" w:rsidP="0071710D">
      <w:pPr>
        <w:pStyle w:val="Bulletpoints"/>
        <w:numPr>
          <w:ilvl w:val="0"/>
          <w:numId w:val="0"/>
        </w:numPr>
        <w:ind w:left="993"/>
        <w:jc w:val="both"/>
      </w:pPr>
      <w:r w:rsidRPr="00AA378B">
        <w:rPr>
          <w:b/>
        </w:rPr>
        <w:t>Regula</w:t>
      </w:r>
      <w:r w:rsidR="002A68B2" w:rsidRPr="00AA378B">
        <w:rPr>
          <w:b/>
        </w:rPr>
        <w:t>tory Services</w:t>
      </w:r>
      <w:r w:rsidR="002A68B2">
        <w:t xml:space="preserve"> – this relates to Public Health Protection. </w:t>
      </w:r>
      <w:r w:rsidR="006942A5">
        <w:t xml:space="preserve">With the continued </w:t>
      </w:r>
      <w:r w:rsidR="00DC22E4">
        <w:t>presence</w:t>
      </w:r>
      <w:r w:rsidR="00125E0D">
        <w:t xml:space="preserve"> of Covid</w:t>
      </w:r>
      <w:r w:rsidR="006942A5">
        <w:t xml:space="preserve">-19, the importance of competent and experienced specialist staff; effective links with the CCDC and protocols for outbreak and control </w:t>
      </w:r>
      <w:r w:rsidR="00125E0D">
        <w:t>are a priority and</w:t>
      </w:r>
      <w:r w:rsidR="00AA378B">
        <w:t xml:space="preserve"> the impact of this risk can be managed in this way.</w:t>
      </w:r>
    </w:p>
    <w:p w:rsidR="00A603BB" w:rsidRDefault="002A68B2" w:rsidP="0071710D">
      <w:pPr>
        <w:pStyle w:val="Bulletpoints"/>
        <w:numPr>
          <w:ilvl w:val="0"/>
          <w:numId w:val="0"/>
        </w:numPr>
        <w:ind w:left="993"/>
        <w:jc w:val="both"/>
      </w:pPr>
      <w:r w:rsidRPr="00AA378B">
        <w:rPr>
          <w:b/>
        </w:rPr>
        <w:t>Housing Services</w:t>
      </w:r>
      <w:r>
        <w:t xml:space="preserve"> – this relates to increased homelessness costs which has been additionally impacted due to the Covid-19 crisis. </w:t>
      </w:r>
      <w:r w:rsidR="00AA378B">
        <w:t xml:space="preserve"> </w:t>
      </w:r>
      <w:r w:rsidR="00FB66F0">
        <w:t>Control measures include undertaking</w:t>
      </w:r>
      <w:r w:rsidR="00A603BB" w:rsidRPr="00A603BB">
        <w:t xml:space="preserve"> a review of </w:t>
      </w:r>
      <w:r w:rsidR="00FB66F0">
        <w:t>the</w:t>
      </w:r>
      <w:r w:rsidR="00A603BB" w:rsidRPr="00A603BB">
        <w:t xml:space="preserve"> approach to temporary accommodation to ensure faster move-on, informed by the </w:t>
      </w:r>
      <w:r w:rsidR="00FB66F0">
        <w:t>“</w:t>
      </w:r>
      <w:r w:rsidR="00A603BB" w:rsidRPr="00A603BB">
        <w:t>Housing First</w:t>
      </w:r>
      <w:r w:rsidR="00FB66F0">
        <w:t>”</w:t>
      </w:r>
      <w:r w:rsidR="00A603BB" w:rsidRPr="00A603BB">
        <w:t xml:space="preserve"> approach</w:t>
      </w:r>
      <w:r w:rsidR="00FB66F0">
        <w:t>, undertaking</w:t>
      </w:r>
      <w:r w:rsidR="00A603BB" w:rsidRPr="00A603BB">
        <w:t xml:space="preserve"> work to look at options for stock rationalisation of temporary </w:t>
      </w:r>
      <w:r w:rsidR="00FB66F0" w:rsidRPr="00A603BB">
        <w:t>accommodation</w:t>
      </w:r>
      <w:r w:rsidR="00A603BB" w:rsidRPr="00A603BB">
        <w:t xml:space="preserve"> units</w:t>
      </w:r>
      <w:r w:rsidR="00FB66F0">
        <w:t xml:space="preserve"> and bi</w:t>
      </w:r>
      <w:r w:rsidR="00A603BB" w:rsidRPr="00A603BB">
        <w:t>d</w:t>
      </w:r>
      <w:r w:rsidR="00FB66F0">
        <w:t>ding</w:t>
      </w:r>
      <w:r w:rsidR="00A603BB" w:rsidRPr="00A603BB">
        <w:t xml:space="preserve"> for </w:t>
      </w:r>
      <w:r w:rsidR="00FB66F0">
        <w:t xml:space="preserve">any </w:t>
      </w:r>
      <w:r w:rsidR="00A603BB" w:rsidRPr="00A603BB">
        <w:t>further funding available from MHCLG to help fund provision for rough sleepers</w:t>
      </w:r>
      <w:r w:rsidR="00125E0D">
        <w:t>.</w:t>
      </w:r>
    </w:p>
    <w:p w:rsidR="00F00DE8" w:rsidRDefault="00F00DE8" w:rsidP="00F00DE8">
      <w:pPr>
        <w:pStyle w:val="Heading1"/>
      </w:pPr>
      <w:r>
        <w:t>Business Continuity</w:t>
      </w:r>
    </w:p>
    <w:p w:rsidR="00D33122" w:rsidRDefault="0020230C" w:rsidP="0071710D">
      <w:pPr>
        <w:pStyle w:val="bParagraphtext"/>
        <w:numPr>
          <w:ilvl w:val="0"/>
          <w:numId w:val="8"/>
        </w:numPr>
        <w:tabs>
          <w:tab w:val="clear" w:pos="426"/>
          <w:tab w:val="clear" w:pos="720"/>
          <w:tab w:val="num" w:pos="851"/>
        </w:tabs>
        <w:ind w:left="567" w:hanging="567"/>
        <w:jc w:val="both"/>
      </w:pPr>
      <w:r>
        <w:t>W</w:t>
      </w:r>
      <w:r w:rsidR="00DC22E4">
        <w:t xml:space="preserve">ith the </w:t>
      </w:r>
      <w:r>
        <w:t>Government announc</w:t>
      </w:r>
      <w:r w:rsidR="00DC22E4">
        <w:t>ing</w:t>
      </w:r>
      <w:r>
        <w:t xml:space="preserve"> the end of all Covid related restrictions from 1 April, </w:t>
      </w:r>
      <w:r w:rsidR="00DC22E4">
        <w:t>the City Council is currently reviewing its own office requirements</w:t>
      </w:r>
      <w:r w:rsidR="00D33122">
        <w:t xml:space="preserve">, as well as offering flexible working arrangements whereby staff can work from home or the office as suits them, subject to any specific requirements of their role. </w:t>
      </w:r>
    </w:p>
    <w:p w:rsidR="00F00DE8" w:rsidRPr="00F00DE8" w:rsidRDefault="00F00DE8" w:rsidP="0071710D">
      <w:pPr>
        <w:pStyle w:val="bParagraphtext"/>
        <w:numPr>
          <w:ilvl w:val="0"/>
          <w:numId w:val="8"/>
        </w:numPr>
        <w:tabs>
          <w:tab w:val="clear" w:pos="426"/>
          <w:tab w:val="clear" w:pos="720"/>
        </w:tabs>
        <w:ind w:left="567" w:hanging="567"/>
        <w:jc w:val="both"/>
      </w:pPr>
      <w:r w:rsidRPr="00FB5F64">
        <w:t xml:space="preserve">The Councils plans for Restart, recovery and renewal </w:t>
      </w:r>
      <w:r w:rsidR="00C249C2">
        <w:t xml:space="preserve">is </w:t>
      </w:r>
      <w:r w:rsidRPr="00FB5F64">
        <w:t>an ongoing process that helps anticipate, prepare</w:t>
      </w:r>
      <w:r w:rsidR="00BF1377">
        <w:t xml:space="preserve">, </w:t>
      </w:r>
      <w:r w:rsidR="002558AA" w:rsidRPr="00FB5F64">
        <w:t>and respond</w:t>
      </w:r>
      <w:r w:rsidRPr="00FB5F64">
        <w:t xml:space="preserve"> to and recover from the impact of COVID-19.  The </w:t>
      </w:r>
      <w:r w:rsidR="00443DF5" w:rsidRPr="00FB5F64">
        <w:t>Services continue</w:t>
      </w:r>
      <w:r w:rsidRPr="00FB5F64">
        <w:t xml:space="preserve"> to deliver and develop effective processes to help mitigate risks to the smooth running and delivery of services, ensuring they can best continue to operate to the extent required in the event of COVID-19 and beyond. These include:</w:t>
      </w:r>
    </w:p>
    <w:p w:rsidR="00F00DE8" w:rsidRPr="00FB5F64" w:rsidRDefault="00F00DE8" w:rsidP="0071710D">
      <w:pPr>
        <w:pStyle w:val="Bulletpoints"/>
        <w:ind w:hanging="785"/>
        <w:rPr>
          <w:rFonts w:cs="Arial"/>
        </w:rPr>
      </w:pPr>
      <w:r w:rsidRPr="00FB5F64">
        <w:t>Task and finish groups</w:t>
      </w:r>
    </w:p>
    <w:p w:rsidR="00F00DE8" w:rsidRPr="00FB5F64" w:rsidRDefault="00F00DE8" w:rsidP="0071710D">
      <w:pPr>
        <w:pStyle w:val="Bulletpoints"/>
        <w:ind w:left="993" w:hanging="426"/>
        <w:jc w:val="both"/>
      </w:pPr>
      <w:r w:rsidRPr="00FB5F64">
        <w:t>Identifying alternative strategies to mitigate further loss and assessing their potential effectiveness in maintaining ability to deliver critical and new - some unknown – service functions</w:t>
      </w:r>
    </w:p>
    <w:p w:rsidR="00F00DE8" w:rsidRPr="00FB5F64" w:rsidRDefault="00F00DE8" w:rsidP="0071710D">
      <w:pPr>
        <w:pStyle w:val="Bulletpoints"/>
        <w:ind w:hanging="785"/>
      </w:pPr>
      <w:r w:rsidRPr="00FB5F64">
        <w:t>Contract variations</w:t>
      </w:r>
    </w:p>
    <w:p w:rsidR="00F00DE8" w:rsidRPr="00FB5F64" w:rsidRDefault="00F00DE8" w:rsidP="0071710D">
      <w:pPr>
        <w:pStyle w:val="Bulletpoints"/>
        <w:ind w:hanging="785"/>
      </w:pPr>
      <w:r w:rsidRPr="00FB5F64">
        <w:t>New ways of working</w:t>
      </w:r>
    </w:p>
    <w:p w:rsidR="00F00DE8" w:rsidRPr="00FB5F64" w:rsidRDefault="00F00DE8" w:rsidP="0071710D">
      <w:pPr>
        <w:pStyle w:val="Bulletpoints"/>
        <w:ind w:hanging="785"/>
      </w:pPr>
      <w:r w:rsidRPr="00FB5F64">
        <w:t>Staff well-being and resilience</w:t>
      </w:r>
    </w:p>
    <w:p w:rsidR="00F00DE8" w:rsidRPr="00FB5F64" w:rsidRDefault="00F00DE8" w:rsidP="0071710D">
      <w:pPr>
        <w:pStyle w:val="Bulletpoints"/>
        <w:ind w:left="993" w:hanging="426"/>
      </w:pPr>
      <w:r w:rsidRPr="00FB5F64">
        <w:t>Service transformation (i.e. using skills and learning to create new structure)</w:t>
      </w:r>
    </w:p>
    <w:p w:rsidR="00F00DE8" w:rsidRPr="00FB5F64" w:rsidRDefault="00F00DE8" w:rsidP="0071710D">
      <w:pPr>
        <w:pStyle w:val="Bulletpoints"/>
        <w:ind w:left="993" w:hanging="426"/>
      </w:pPr>
      <w:r w:rsidRPr="00FB5F64">
        <w:t>Budget review and re-prioritisation</w:t>
      </w:r>
    </w:p>
    <w:p w:rsidR="00F00DE8" w:rsidRPr="00FB5F64" w:rsidRDefault="00F00DE8" w:rsidP="0071710D">
      <w:pPr>
        <w:pStyle w:val="Bulletpoints"/>
        <w:ind w:left="993" w:hanging="426"/>
      </w:pPr>
      <w:r w:rsidRPr="00FB5F64">
        <w:t>Generating new revenue</w:t>
      </w:r>
    </w:p>
    <w:p w:rsidR="00F00DE8" w:rsidRPr="00FB5F64" w:rsidRDefault="00F00DE8" w:rsidP="0071710D">
      <w:pPr>
        <w:pStyle w:val="Bulletpoints"/>
        <w:ind w:left="993" w:hanging="426"/>
      </w:pPr>
      <w:r w:rsidRPr="00FB5F64">
        <w:lastRenderedPageBreak/>
        <w:t>Shielding the most vulnerable</w:t>
      </w:r>
    </w:p>
    <w:p w:rsidR="00F00DE8" w:rsidRPr="00FB5F64" w:rsidRDefault="00F00DE8" w:rsidP="0071710D">
      <w:pPr>
        <w:pStyle w:val="Bulletpoints"/>
        <w:ind w:left="993" w:hanging="426"/>
      </w:pPr>
      <w:r w:rsidRPr="00FB5F64">
        <w:t>Healthy Place Shaping</w:t>
      </w:r>
    </w:p>
    <w:p w:rsidR="00F00DE8" w:rsidRPr="00FB5F64" w:rsidRDefault="00F00DE8" w:rsidP="0071710D">
      <w:pPr>
        <w:pStyle w:val="Bulletpoints"/>
        <w:ind w:left="993" w:hanging="426"/>
      </w:pPr>
      <w:r w:rsidRPr="00FB5F64">
        <w:t>Strengthening and creating new partners</w:t>
      </w:r>
    </w:p>
    <w:p w:rsidR="00F00DE8" w:rsidRDefault="00F00DE8" w:rsidP="0071710D">
      <w:pPr>
        <w:pStyle w:val="Bulletpoints"/>
        <w:ind w:left="993" w:hanging="426"/>
        <w:jc w:val="both"/>
      </w:pPr>
      <w:r w:rsidRPr="00FB5F64">
        <w:t>Transforming the service business plan to help address new challenges and changing needs.</w:t>
      </w:r>
    </w:p>
    <w:p w:rsidR="00BF1377" w:rsidRDefault="00BF1377" w:rsidP="00BF1377">
      <w:pPr>
        <w:pStyle w:val="Heading1"/>
      </w:pPr>
      <w:r>
        <w:t>Risk Management</w:t>
      </w:r>
    </w:p>
    <w:p w:rsidR="00BF1377" w:rsidRPr="00816624" w:rsidRDefault="00A12F26" w:rsidP="0071710D">
      <w:pPr>
        <w:pStyle w:val="ListParagraph"/>
        <w:numPr>
          <w:ilvl w:val="0"/>
          <w:numId w:val="8"/>
        </w:numPr>
        <w:tabs>
          <w:tab w:val="clear" w:pos="426"/>
          <w:tab w:val="clear" w:pos="720"/>
          <w:tab w:val="left" w:pos="709"/>
        </w:tabs>
        <w:spacing w:after="0"/>
        <w:ind w:left="567" w:hanging="567"/>
        <w:jc w:val="both"/>
        <w:rPr>
          <w:rFonts w:cs="Arial"/>
          <w:b/>
        </w:rPr>
      </w:pPr>
      <w:r>
        <w:t xml:space="preserve">In order to monitor and ensure that </w:t>
      </w:r>
      <w:r w:rsidR="00DB60B0">
        <w:t xml:space="preserve">there is a clear and consistent approach to the management of risk across the organisation, between services and between corporate and service levels, </w:t>
      </w:r>
      <w:r>
        <w:t xml:space="preserve">the </w:t>
      </w:r>
      <w:r w:rsidR="005C2016">
        <w:t xml:space="preserve">Council established a </w:t>
      </w:r>
      <w:r>
        <w:t>Risk Management Group</w:t>
      </w:r>
      <w:r w:rsidR="005C2016">
        <w:t xml:space="preserve">. The Group met </w:t>
      </w:r>
      <w:r w:rsidR="005A4E76">
        <w:t>four</w:t>
      </w:r>
      <w:r w:rsidR="005C2016">
        <w:t xml:space="preserve"> times in 2021 and concluded the following against the  </w:t>
      </w:r>
      <w:r>
        <w:t>action plan</w:t>
      </w:r>
      <w:r w:rsidR="00DB60B0">
        <w:t xml:space="preserve"> </w:t>
      </w:r>
      <w:r w:rsidR="005C2016">
        <w:t xml:space="preserve">agreed for </w:t>
      </w:r>
      <w:r w:rsidR="00DB60B0">
        <w:t xml:space="preserve"> 2021</w:t>
      </w:r>
      <w:r>
        <w:t xml:space="preserve">:- </w:t>
      </w:r>
    </w:p>
    <w:p w:rsidR="00F86316" w:rsidRDefault="00F86316" w:rsidP="0071710D">
      <w:pPr>
        <w:spacing w:after="0"/>
        <w:rPr>
          <w:rFonts w:cs="Arial"/>
          <w:b/>
        </w:rPr>
      </w:pPr>
    </w:p>
    <w:p w:rsidR="00F86316" w:rsidRPr="005C2016" w:rsidRDefault="00F86316" w:rsidP="0071710D">
      <w:pPr>
        <w:pStyle w:val="ListParagraph"/>
        <w:numPr>
          <w:ilvl w:val="1"/>
          <w:numId w:val="8"/>
        </w:numPr>
        <w:tabs>
          <w:tab w:val="clear" w:pos="1440"/>
          <w:tab w:val="num" w:pos="1134"/>
        </w:tabs>
        <w:ind w:hanging="873"/>
        <w:rPr>
          <w:rFonts w:cs="Arial"/>
          <w:b/>
        </w:rPr>
      </w:pPr>
      <w:r w:rsidRPr="005C2016">
        <w:rPr>
          <w:rFonts w:cs="Arial"/>
          <w:b/>
        </w:rPr>
        <w:t xml:space="preserve">Review of Corporate Risk Register – Risk Management Group (RMG) and Operational Delivery Group (ODG). </w:t>
      </w:r>
    </w:p>
    <w:p w:rsidR="005C2016" w:rsidRPr="005C2016" w:rsidRDefault="005C2016" w:rsidP="0071710D">
      <w:pPr>
        <w:pStyle w:val="ListParagraph"/>
        <w:numPr>
          <w:ilvl w:val="0"/>
          <w:numId w:val="17"/>
        </w:numPr>
        <w:tabs>
          <w:tab w:val="num" w:pos="1134"/>
        </w:tabs>
        <w:ind w:hanging="514"/>
        <w:rPr>
          <w:rFonts w:cs="Arial"/>
          <w:b/>
        </w:rPr>
      </w:pPr>
      <w:r w:rsidRPr="005A4E76">
        <w:rPr>
          <w:rFonts w:cs="Arial"/>
        </w:rPr>
        <w:t>Monitored these and gave feedback</w:t>
      </w:r>
      <w:r>
        <w:rPr>
          <w:rFonts w:cs="Arial"/>
        </w:rPr>
        <w:t>.</w:t>
      </w:r>
    </w:p>
    <w:p w:rsidR="00F86316" w:rsidRPr="00816624" w:rsidRDefault="00F86316" w:rsidP="0071710D">
      <w:pPr>
        <w:pStyle w:val="ListParagraph"/>
        <w:numPr>
          <w:ilvl w:val="1"/>
          <w:numId w:val="13"/>
        </w:numPr>
        <w:tabs>
          <w:tab w:val="num" w:pos="1134"/>
        </w:tabs>
        <w:ind w:hanging="514"/>
        <w:jc w:val="both"/>
        <w:rPr>
          <w:rFonts w:cs="Arial"/>
        </w:rPr>
      </w:pPr>
      <w:r w:rsidRPr="00816624">
        <w:rPr>
          <w:rFonts w:cs="Arial"/>
        </w:rPr>
        <w:t xml:space="preserve">It was agreed the Red Risks all needed to remain. The wording around the risks in respect of Economic Growth and also Local Government Reorganisation </w:t>
      </w:r>
      <w:r w:rsidR="00896FB7">
        <w:rPr>
          <w:rFonts w:cs="Arial"/>
        </w:rPr>
        <w:t>were</w:t>
      </w:r>
      <w:r w:rsidRPr="00816624">
        <w:rPr>
          <w:rFonts w:cs="Arial"/>
        </w:rPr>
        <w:t xml:space="preserve"> updated.</w:t>
      </w:r>
    </w:p>
    <w:p w:rsidR="00F86316" w:rsidRPr="005C2016" w:rsidRDefault="00F86316" w:rsidP="0071710D">
      <w:pPr>
        <w:pStyle w:val="ListParagraph"/>
        <w:numPr>
          <w:ilvl w:val="1"/>
          <w:numId w:val="8"/>
        </w:numPr>
        <w:tabs>
          <w:tab w:val="clear" w:pos="1440"/>
          <w:tab w:val="num" w:pos="1134"/>
        </w:tabs>
        <w:ind w:hanging="873"/>
        <w:rPr>
          <w:rFonts w:cs="Arial"/>
          <w:b/>
        </w:rPr>
      </w:pPr>
      <w:r w:rsidRPr="005C2016">
        <w:rPr>
          <w:rFonts w:cs="Arial"/>
          <w:b/>
        </w:rPr>
        <w:t>Sample check review of risks in connection with projects – RMG</w:t>
      </w:r>
    </w:p>
    <w:p w:rsidR="00F86316" w:rsidRPr="00816624" w:rsidRDefault="00F86316" w:rsidP="0071710D">
      <w:pPr>
        <w:pStyle w:val="ListParagraph"/>
        <w:numPr>
          <w:ilvl w:val="1"/>
          <w:numId w:val="13"/>
        </w:numPr>
        <w:tabs>
          <w:tab w:val="num" w:pos="1134"/>
        </w:tabs>
        <w:ind w:hanging="514"/>
        <w:jc w:val="both"/>
        <w:rPr>
          <w:rFonts w:cs="Arial"/>
        </w:rPr>
      </w:pPr>
      <w:r w:rsidRPr="00816624">
        <w:rPr>
          <w:rFonts w:cs="Arial"/>
        </w:rPr>
        <w:t>Reviewed Blackbird Leys and Gasworks Pipe Bridge projects</w:t>
      </w:r>
      <w:r w:rsidR="0083032F">
        <w:rPr>
          <w:rFonts w:cs="Arial"/>
        </w:rPr>
        <w:t xml:space="preserve">. Project Risk Register templates are in a different format to the Corporate and Service Risk Registers. It was also ascertained that there were several versions of the Project Risk Register Template. In order to ensure consistency, one template has now been agreed and assigned to be used across all Projects.  </w:t>
      </w:r>
    </w:p>
    <w:p w:rsidR="00F86316" w:rsidRPr="005C2016" w:rsidRDefault="00F86316" w:rsidP="0071710D">
      <w:pPr>
        <w:pStyle w:val="ListParagraph"/>
        <w:numPr>
          <w:ilvl w:val="1"/>
          <w:numId w:val="8"/>
        </w:numPr>
        <w:tabs>
          <w:tab w:val="clear" w:pos="1440"/>
          <w:tab w:val="num" w:pos="1134"/>
        </w:tabs>
        <w:ind w:hanging="873"/>
        <w:rPr>
          <w:rFonts w:cs="Arial"/>
          <w:b/>
        </w:rPr>
      </w:pPr>
      <w:r w:rsidRPr="005C2016">
        <w:rPr>
          <w:rFonts w:cs="Arial"/>
          <w:b/>
        </w:rPr>
        <w:t>Sample check review of Service risks – RMG</w:t>
      </w:r>
    </w:p>
    <w:p w:rsidR="00F86316" w:rsidRPr="00816624" w:rsidRDefault="00F86316" w:rsidP="0071710D">
      <w:pPr>
        <w:pStyle w:val="ListParagraph"/>
        <w:numPr>
          <w:ilvl w:val="1"/>
          <w:numId w:val="13"/>
        </w:numPr>
        <w:tabs>
          <w:tab w:val="num" w:pos="1134"/>
        </w:tabs>
        <w:ind w:hanging="514"/>
        <w:rPr>
          <w:rFonts w:cs="Arial"/>
        </w:rPr>
      </w:pPr>
      <w:r w:rsidRPr="00816624">
        <w:rPr>
          <w:rFonts w:cs="Arial"/>
        </w:rPr>
        <w:t>Regeneration &amp; Economy</w:t>
      </w:r>
    </w:p>
    <w:p w:rsidR="00F86316" w:rsidRPr="00816624" w:rsidRDefault="00F86316" w:rsidP="0071710D">
      <w:pPr>
        <w:pStyle w:val="ListParagraph"/>
        <w:numPr>
          <w:ilvl w:val="1"/>
          <w:numId w:val="13"/>
        </w:numPr>
        <w:tabs>
          <w:tab w:val="num" w:pos="1134"/>
        </w:tabs>
        <w:ind w:hanging="514"/>
        <w:rPr>
          <w:rFonts w:cs="Arial"/>
        </w:rPr>
      </w:pPr>
      <w:r w:rsidRPr="00816624">
        <w:rPr>
          <w:rFonts w:cs="Arial"/>
        </w:rPr>
        <w:t>Corporate Property</w:t>
      </w:r>
    </w:p>
    <w:p w:rsidR="00F86316" w:rsidRPr="00816624" w:rsidRDefault="00F86316" w:rsidP="0071710D">
      <w:pPr>
        <w:pStyle w:val="ListParagraph"/>
        <w:numPr>
          <w:ilvl w:val="1"/>
          <w:numId w:val="13"/>
        </w:numPr>
        <w:tabs>
          <w:tab w:val="num" w:pos="1134"/>
        </w:tabs>
        <w:ind w:hanging="514"/>
        <w:rPr>
          <w:rFonts w:cs="Arial"/>
        </w:rPr>
      </w:pPr>
      <w:r w:rsidRPr="00816624">
        <w:rPr>
          <w:rFonts w:cs="Arial"/>
        </w:rPr>
        <w:t>Law &amp; Governance</w:t>
      </w:r>
    </w:p>
    <w:p w:rsidR="00F86316" w:rsidRDefault="00F86316" w:rsidP="0071710D">
      <w:pPr>
        <w:pStyle w:val="ListParagraph"/>
        <w:numPr>
          <w:ilvl w:val="1"/>
          <w:numId w:val="13"/>
        </w:numPr>
        <w:tabs>
          <w:tab w:val="num" w:pos="1134"/>
        </w:tabs>
        <w:ind w:hanging="514"/>
        <w:rPr>
          <w:rFonts w:cs="Arial"/>
        </w:rPr>
      </w:pPr>
      <w:r w:rsidRPr="00816624">
        <w:rPr>
          <w:rFonts w:cs="Arial"/>
        </w:rPr>
        <w:t>Corporate Policy,</w:t>
      </w:r>
      <w:r w:rsidR="00340838" w:rsidRPr="00816624">
        <w:rPr>
          <w:rFonts w:cs="Arial"/>
        </w:rPr>
        <w:t xml:space="preserve"> </w:t>
      </w:r>
      <w:r w:rsidRPr="00816624">
        <w:rPr>
          <w:rFonts w:cs="Arial"/>
        </w:rPr>
        <w:t>Partnership &amp; Communications</w:t>
      </w:r>
    </w:p>
    <w:p w:rsidR="00340838" w:rsidRPr="005C2016" w:rsidRDefault="00340838" w:rsidP="0071710D">
      <w:pPr>
        <w:pStyle w:val="ListParagraph"/>
        <w:numPr>
          <w:ilvl w:val="1"/>
          <w:numId w:val="8"/>
        </w:numPr>
        <w:tabs>
          <w:tab w:val="clear" w:pos="1440"/>
          <w:tab w:val="num" w:pos="1134"/>
        </w:tabs>
        <w:ind w:hanging="873"/>
        <w:rPr>
          <w:rFonts w:cs="Arial"/>
          <w:b/>
        </w:rPr>
      </w:pPr>
      <w:r w:rsidRPr="005C2016">
        <w:rPr>
          <w:rFonts w:cs="Arial"/>
          <w:b/>
        </w:rPr>
        <w:t>Review of Risk in Companies and Joint Ventures – RMG</w:t>
      </w:r>
    </w:p>
    <w:p w:rsidR="00340838" w:rsidRDefault="00340838" w:rsidP="0071710D">
      <w:pPr>
        <w:pStyle w:val="Bulletpoints"/>
        <w:tabs>
          <w:tab w:val="num" w:pos="1134"/>
        </w:tabs>
        <w:ind w:left="1701" w:hanging="567"/>
        <w:jc w:val="both"/>
      </w:pPr>
      <w:r w:rsidRPr="00340838">
        <w:t>Oxford Direct Services and Oxford City Housing Ltd used a scoring risk matrix</w:t>
      </w:r>
      <w:r>
        <w:t xml:space="preserve"> </w:t>
      </w:r>
      <w:r w:rsidR="00EF3F80">
        <w:t xml:space="preserve">in a format not </w:t>
      </w:r>
      <w:r>
        <w:t xml:space="preserve">used by the Council. Going forward, the Companies </w:t>
      </w:r>
      <w:r w:rsidR="00EF3F80">
        <w:t>now</w:t>
      </w:r>
      <w:r>
        <w:t xml:space="preserve"> use the </w:t>
      </w:r>
      <w:r w:rsidR="00EF3F80">
        <w:t xml:space="preserve">same </w:t>
      </w:r>
      <w:r>
        <w:t xml:space="preserve">scoring risk matrix </w:t>
      </w:r>
      <w:r w:rsidR="00EF3F80">
        <w:t xml:space="preserve">as </w:t>
      </w:r>
      <w:r>
        <w:t>used by the Council to ensure consistency across the board.</w:t>
      </w:r>
    </w:p>
    <w:p w:rsidR="005C2016" w:rsidRPr="00125E0D" w:rsidRDefault="00EF3F80" w:rsidP="00125E0D">
      <w:pPr>
        <w:pStyle w:val="Bulletpoints"/>
        <w:numPr>
          <w:ilvl w:val="1"/>
          <w:numId w:val="8"/>
        </w:numPr>
        <w:tabs>
          <w:tab w:val="clear" w:pos="1440"/>
          <w:tab w:val="num" w:pos="1134"/>
        </w:tabs>
        <w:ind w:hanging="873"/>
        <w:rPr>
          <w:b/>
        </w:rPr>
      </w:pPr>
      <w:r w:rsidRPr="005C2016">
        <w:rPr>
          <w:b/>
        </w:rPr>
        <w:t xml:space="preserve">Review all Red Risks on a quarterly basis – RMG – </w:t>
      </w:r>
      <w:r w:rsidR="005C2016" w:rsidRPr="005C2016">
        <w:rPr>
          <w:b/>
        </w:rPr>
        <w:t xml:space="preserve"> Ongoing</w:t>
      </w:r>
    </w:p>
    <w:p w:rsidR="00816624" w:rsidRDefault="0083032F" w:rsidP="0071710D">
      <w:pPr>
        <w:pStyle w:val="Bulletpoints"/>
        <w:numPr>
          <w:ilvl w:val="0"/>
          <w:numId w:val="8"/>
        </w:numPr>
        <w:tabs>
          <w:tab w:val="clear" w:pos="720"/>
          <w:tab w:val="num" w:pos="567"/>
        </w:tabs>
        <w:spacing w:after="0"/>
        <w:ind w:left="567" w:hanging="567"/>
        <w:jc w:val="both"/>
      </w:pPr>
      <w:r>
        <w:t>The 2022 Risk Management Action Plan will be drawn up and agreed in the next Risk Management Group Meeting 2022.</w:t>
      </w:r>
    </w:p>
    <w:p w:rsidR="00125E0D" w:rsidRDefault="00125E0D" w:rsidP="00F00DE8">
      <w:pPr>
        <w:rPr>
          <w:rFonts w:cs="Arial"/>
          <w:b/>
        </w:rPr>
      </w:pPr>
    </w:p>
    <w:p w:rsidR="00F00DE8" w:rsidRDefault="00F00DE8" w:rsidP="00F00DE8">
      <w:pPr>
        <w:rPr>
          <w:rFonts w:cs="Arial"/>
          <w:b/>
        </w:rPr>
      </w:pPr>
      <w:r>
        <w:rPr>
          <w:rFonts w:cs="Arial"/>
          <w:b/>
        </w:rPr>
        <w:t xml:space="preserve">Climate Change/Environmental Impact </w:t>
      </w:r>
    </w:p>
    <w:p w:rsidR="00F00DE8" w:rsidRDefault="00F00DE8" w:rsidP="0071710D">
      <w:pPr>
        <w:pStyle w:val="bParagraphtext"/>
        <w:numPr>
          <w:ilvl w:val="0"/>
          <w:numId w:val="8"/>
        </w:numPr>
        <w:tabs>
          <w:tab w:val="clear" w:pos="426"/>
          <w:tab w:val="clear" w:pos="720"/>
          <w:tab w:val="num" w:pos="851"/>
        </w:tabs>
        <w:spacing w:after="0"/>
        <w:ind w:left="567" w:hanging="567"/>
      </w:pPr>
      <w:r w:rsidRPr="008B29A7">
        <w:t xml:space="preserve">There are no </w:t>
      </w:r>
      <w:r>
        <w:t xml:space="preserve">specific </w:t>
      </w:r>
      <w:r w:rsidRPr="008B29A7">
        <w:t>impacts arising directly from this report</w:t>
      </w:r>
    </w:p>
    <w:p w:rsidR="0071710D" w:rsidRPr="00F00DE8" w:rsidRDefault="0071710D" w:rsidP="0071710D">
      <w:pPr>
        <w:pStyle w:val="bParagraphtext"/>
        <w:numPr>
          <w:ilvl w:val="0"/>
          <w:numId w:val="0"/>
        </w:numPr>
        <w:tabs>
          <w:tab w:val="clear" w:pos="426"/>
        </w:tabs>
        <w:spacing w:after="0"/>
      </w:pPr>
    </w:p>
    <w:p w:rsidR="00F00DE8" w:rsidRPr="00F00DE8" w:rsidRDefault="00F00DE8" w:rsidP="0071710D">
      <w:pPr>
        <w:pStyle w:val="Heading1"/>
        <w:spacing w:before="0"/>
      </w:pPr>
      <w:r>
        <w:lastRenderedPageBreak/>
        <w:t>Equalities Impact</w:t>
      </w:r>
    </w:p>
    <w:p w:rsidR="00F00DE8" w:rsidRDefault="00F00DE8" w:rsidP="0071710D">
      <w:pPr>
        <w:pStyle w:val="bParagraphtext"/>
        <w:numPr>
          <w:ilvl w:val="0"/>
          <w:numId w:val="8"/>
        </w:numPr>
        <w:tabs>
          <w:tab w:val="clear" w:pos="426"/>
          <w:tab w:val="clear" w:pos="720"/>
          <w:tab w:val="num" w:pos="851"/>
        </w:tabs>
        <w:spacing w:after="0"/>
        <w:ind w:left="567" w:hanging="567"/>
      </w:pPr>
      <w:r w:rsidRPr="007B753F">
        <w:t xml:space="preserve">There are no </w:t>
      </w:r>
      <w:r>
        <w:t xml:space="preserve">equalities impacts </w:t>
      </w:r>
      <w:r w:rsidRPr="007B753F">
        <w:t xml:space="preserve">arising directly from this report. </w:t>
      </w:r>
    </w:p>
    <w:p w:rsidR="0071710D" w:rsidRPr="00F00DE8" w:rsidRDefault="0071710D" w:rsidP="0071710D">
      <w:pPr>
        <w:pStyle w:val="bParagraphtext"/>
        <w:numPr>
          <w:ilvl w:val="0"/>
          <w:numId w:val="0"/>
        </w:numPr>
        <w:tabs>
          <w:tab w:val="clear" w:pos="426"/>
        </w:tabs>
        <w:spacing w:after="0"/>
        <w:ind w:left="567"/>
      </w:pPr>
    </w:p>
    <w:p w:rsidR="00F00DE8" w:rsidRPr="00F00DE8" w:rsidRDefault="00F00DE8" w:rsidP="0071710D">
      <w:pPr>
        <w:pStyle w:val="Heading1"/>
        <w:spacing w:before="0"/>
      </w:pPr>
      <w:r>
        <w:t xml:space="preserve">Financial </w:t>
      </w:r>
      <w:r w:rsidRPr="005044C6">
        <w:t>Implications</w:t>
      </w:r>
    </w:p>
    <w:p w:rsidR="00F00DE8" w:rsidRPr="00F00DE8" w:rsidRDefault="00F00DE8" w:rsidP="0071710D">
      <w:pPr>
        <w:pStyle w:val="bParagraphtext"/>
        <w:numPr>
          <w:ilvl w:val="0"/>
          <w:numId w:val="8"/>
        </w:numPr>
        <w:tabs>
          <w:tab w:val="clear" w:pos="426"/>
          <w:tab w:val="clear" w:pos="720"/>
          <w:tab w:val="num" w:pos="851"/>
        </w:tabs>
        <w:ind w:left="567" w:hanging="567"/>
      </w:pPr>
      <w:r>
        <w:t>There are no financial implications arising directly from this report.</w:t>
      </w:r>
    </w:p>
    <w:p w:rsidR="00816624" w:rsidRDefault="00816624" w:rsidP="0071710D">
      <w:pPr>
        <w:pStyle w:val="Heading1"/>
        <w:spacing w:before="0" w:after="0"/>
      </w:pPr>
    </w:p>
    <w:p w:rsidR="00F00DE8" w:rsidRPr="00F00DE8" w:rsidRDefault="00F00DE8" w:rsidP="0071710D">
      <w:pPr>
        <w:pStyle w:val="Heading1"/>
        <w:spacing w:before="0"/>
      </w:pPr>
      <w:r>
        <w:t xml:space="preserve">Legal Implications </w:t>
      </w:r>
    </w:p>
    <w:p w:rsidR="00F00DE8" w:rsidRPr="007232A2" w:rsidRDefault="00F00DE8" w:rsidP="0071710D">
      <w:pPr>
        <w:pStyle w:val="bParagraphtext"/>
        <w:numPr>
          <w:ilvl w:val="0"/>
          <w:numId w:val="8"/>
        </w:numPr>
        <w:tabs>
          <w:tab w:val="clear" w:pos="426"/>
          <w:tab w:val="clear" w:pos="720"/>
        </w:tabs>
        <w:ind w:left="567" w:hanging="567"/>
        <w:jc w:val="both"/>
      </w:pPr>
      <w:r>
        <w:t xml:space="preserve">There are no legal implications directly relevant to this report but having proper arrangements to manage risk throughout the organisation is an important component of good corporate governance and good business </w:t>
      </w:r>
      <w:r w:rsidR="00DC22E4">
        <w:t>management. There</w:t>
      </w:r>
      <w:r>
        <w:t xml:space="preserve"> are some legal issues that may arise going forward in the business continuity process but these will be managed on a case by case basis.</w:t>
      </w:r>
    </w:p>
    <w:p w:rsidR="00F00DE8" w:rsidRPr="001356F1" w:rsidRDefault="00F00DE8"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67E2E" w:rsidP="00A46E98">
            <w:r>
              <w:t>Alison Nash</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67E2E" w:rsidP="00A46E98">
            <w:r>
              <w:t>Finance Officer (Insurance)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5292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67E2E" w:rsidP="00244B5A">
            <w:r>
              <w:rPr>
                <w:lang w:val="de-DE"/>
              </w:rPr>
              <w:t>01865 252048</w:t>
            </w:r>
            <w:r w:rsidRPr="0098273F">
              <w:rPr>
                <w:lang w:val="de-DE"/>
              </w:rPr>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E52920" w:rsidRDefault="00E52920" w:rsidP="00A46E98">
            <w:pPr>
              <w:rPr>
                <w:rStyle w:val="Hyperlink"/>
                <w:color w:val="000000"/>
                <w:sz w:val="20"/>
                <w:u w:val="none"/>
              </w:rPr>
            </w:pPr>
            <w:r>
              <w:t xml:space="preserve">Email: </w:t>
            </w:r>
            <w:hyperlink r:id="rId11" w:history="1">
              <w:r w:rsidR="00E67E2E" w:rsidRPr="0028420A">
                <w:rPr>
                  <w:rStyle w:val="Hyperlink"/>
                  <w:lang w:val="de-DE"/>
                </w:rPr>
                <w:t>anash@oxford.gov.uk</w:t>
              </w:r>
            </w:hyperlink>
            <w:r w:rsidR="00E67E2E">
              <w:rPr>
                <w:lang w:val="de-DE"/>
              </w:rPr>
              <w:t xml:space="preserve"> </w:t>
            </w:r>
          </w:p>
        </w:tc>
      </w:tr>
    </w:tbl>
    <w:p w:rsidR="00433B96" w:rsidRDefault="00433B96" w:rsidP="004A6D2F"/>
    <w:p w:rsidR="00E67E2E" w:rsidRDefault="00E67E2E" w:rsidP="004A6D2F"/>
    <w:p w:rsidR="00E67E2E" w:rsidRDefault="00E67E2E" w:rsidP="00E67E2E">
      <w:pPr>
        <w:rPr>
          <w:rFonts w:cs="Arial"/>
          <w:b/>
          <w:bCs/>
        </w:rPr>
      </w:pPr>
      <w:r>
        <w:rPr>
          <w:rFonts w:cs="Arial"/>
          <w:b/>
          <w:bCs/>
        </w:rPr>
        <w:t>List of background papers: None.</w:t>
      </w:r>
    </w:p>
    <w:p w:rsidR="00E67E2E" w:rsidRPr="001356F1" w:rsidRDefault="00E67E2E" w:rsidP="004A6D2F"/>
    <w:sectPr w:rsidR="00E67E2E" w:rsidRPr="001356F1"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F02" w:rsidRDefault="009E2F02" w:rsidP="004A6D2F">
      <w:r>
        <w:separator/>
      </w:r>
    </w:p>
  </w:endnote>
  <w:endnote w:type="continuationSeparator" w:id="0">
    <w:p w:rsidR="009E2F02" w:rsidRDefault="009E2F0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4" w:rsidRDefault="00415D64" w:rsidP="004A6D2F">
    <w:pPr>
      <w:pStyle w:val="Footer"/>
    </w:pPr>
    <w:r>
      <w:t>Do not use a footer or page numbers.</w:t>
    </w:r>
  </w:p>
  <w:p w:rsidR="00415D64" w:rsidRDefault="00415D64" w:rsidP="004A6D2F">
    <w:pPr>
      <w:pStyle w:val="Footer"/>
    </w:pPr>
  </w:p>
  <w:p w:rsidR="00415D64" w:rsidRDefault="00415D6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4" w:rsidRDefault="00415D6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F02" w:rsidRDefault="009E2F02" w:rsidP="004A6D2F">
      <w:r>
        <w:separator/>
      </w:r>
    </w:p>
  </w:footnote>
  <w:footnote w:type="continuationSeparator" w:id="0">
    <w:p w:rsidR="009E2F02" w:rsidRDefault="009E2F0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4" w:rsidRDefault="00415D64"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315"/>
    <w:multiLevelType w:val="hybridMultilevel"/>
    <w:tmpl w:val="8E189C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934CE6"/>
    <w:multiLevelType w:val="hybridMultilevel"/>
    <w:tmpl w:val="8F927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0176BF"/>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20980FC5"/>
    <w:multiLevelType w:val="hybridMultilevel"/>
    <w:tmpl w:val="A54E43EC"/>
    <w:lvl w:ilvl="0" w:tplc="08090003">
      <w:start w:val="1"/>
      <w:numFmt w:val="bullet"/>
      <w:pStyle w:val="Bulletpoints"/>
      <w:lvlText w:val="o"/>
      <w:lvlJc w:val="left"/>
      <w:pPr>
        <w:ind w:left="1352" w:hanging="360"/>
      </w:pPr>
      <w:rPr>
        <w:rFonts w:ascii="Courier New" w:hAnsi="Courier New" w:cs="Courier New" w:hint="default"/>
      </w:rPr>
    </w:lvl>
    <w:lvl w:ilvl="1" w:tplc="08090019">
      <w:start w:val="1"/>
      <w:numFmt w:val="lowerLetter"/>
      <w:lvlText w:val="%2."/>
      <w:lvlJc w:val="left"/>
      <w:pPr>
        <w:ind w:left="2072" w:hanging="360"/>
      </w:pPr>
    </w:lvl>
    <w:lvl w:ilvl="2" w:tplc="A68E2D16">
      <w:start w:val="1"/>
      <w:numFmt w:val="lowerLetter"/>
      <w:lvlText w:val="%3)"/>
      <w:lvlJc w:val="left"/>
      <w:pPr>
        <w:ind w:left="3162" w:hanging="550"/>
      </w:pPr>
      <w:rPr>
        <w:rFonts w:hint="default"/>
        <w:color w:val="000000"/>
        <w:sz w:val="24"/>
      </w:r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6">
    <w:nsid w:val="308E6629"/>
    <w:multiLevelType w:val="hybridMultilevel"/>
    <w:tmpl w:val="A67A18B0"/>
    <w:lvl w:ilvl="0" w:tplc="08090003">
      <w:start w:val="1"/>
      <w:numFmt w:val="bullet"/>
      <w:lvlText w:val="o"/>
      <w:lvlJc w:val="left"/>
      <w:pPr>
        <w:ind w:left="1648" w:hanging="360"/>
      </w:pPr>
      <w:rPr>
        <w:rFonts w:ascii="Courier New" w:hAnsi="Courier New" w:cs="Courier New"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7">
    <w:nsid w:val="31C331B6"/>
    <w:multiLevelType w:val="hybridMultilevel"/>
    <w:tmpl w:val="5A002CCE"/>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nsid w:val="34D340B2"/>
    <w:multiLevelType w:val="multilevel"/>
    <w:tmpl w:val="A9B4FCAC"/>
    <w:lvl w:ilvl="0">
      <w:start w:val="8"/>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nsid w:val="59031C79"/>
    <w:multiLevelType w:val="hybridMultilevel"/>
    <w:tmpl w:val="B4B62D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B224BB9"/>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nsid w:val="702228C4"/>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nsid w:val="798365C6"/>
    <w:multiLevelType w:val="multilevel"/>
    <w:tmpl w:val="E67CE66C"/>
    <w:numStyleLink w:val="StyleNumberedLeft0cmHanging075cm"/>
  </w:abstractNum>
  <w:num w:numId="1">
    <w:abstractNumId w:val="1"/>
  </w:num>
  <w:num w:numId="2">
    <w:abstractNumId w:val="1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5"/>
  </w:num>
  <w:num w:numId="4">
    <w:abstractNumId w:val="2"/>
  </w:num>
  <w:num w:numId="5">
    <w:abstractNumId w:val="10"/>
  </w:num>
  <w:num w:numId="6">
    <w:abstractNumId w:val="4"/>
  </w:num>
  <w:num w:numId="7">
    <w:abstractNumId w:val="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 w:ilvl="0">
        <w:start w:val="1"/>
        <w:numFmt w:val="decimal"/>
        <w:pStyle w:val="ListParagraph"/>
        <w:lvlText w:val="%1."/>
        <w:lvlJc w:val="left"/>
        <w:pPr>
          <w:ind w:left="502" w:hanging="360"/>
        </w:pPr>
        <w:rPr>
          <w:rFonts w:ascii="Arial" w:hAnsi="Arial"/>
          <w:b/>
          <w:color w:val="000000"/>
          <w:sz w:val="24"/>
        </w:rPr>
      </w:lvl>
    </w:lvlOverride>
  </w:num>
  <w:num w:numId="11">
    <w:abstractNumId w:val="13"/>
    <w:lvlOverride w:ilvl="0">
      <w:lvl w:ilvl="0">
        <w:start w:val="1"/>
        <w:numFmt w:val="decimal"/>
        <w:pStyle w:val="ListParagraph"/>
        <w:lvlText w:val="%1."/>
        <w:lvlJc w:val="left"/>
        <w:pPr>
          <w:ind w:left="502" w:hanging="360"/>
        </w:pPr>
        <w:rPr>
          <w:rFonts w:ascii="Arial" w:hAnsi="Arial"/>
          <w:b/>
          <w:color w:val="000000"/>
          <w:sz w:val="24"/>
        </w:rPr>
      </w:lvl>
    </w:lvlOverride>
  </w:num>
  <w:num w:numId="12">
    <w:abstractNumId w:val="3"/>
  </w:num>
  <w:num w:numId="13">
    <w:abstractNumId w:val="7"/>
  </w:num>
  <w:num w:numId="14">
    <w:abstractNumId w:val="12"/>
  </w:num>
  <w:num w:numId="15">
    <w:abstractNumId w:val="11"/>
  </w:num>
  <w:num w:numId="16">
    <w:abstractNumId w:val="5"/>
    <w:lvlOverride w:ilvl="0">
      <w:startOverride w:val="4"/>
    </w:lvlOverride>
  </w:num>
  <w:num w:numId="17">
    <w:abstractNumId w:val="6"/>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703"/>
    <w:rsid w:val="00046D2B"/>
    <w:rsid w:val="00056263"/>
    <w:rsid w:val="00064D8A"/>
    <w:rsid w:val="00064F82"/>
    <w:rsid w:val="00066510"/>
    <w:rsid w:val="00073457"/>
    <w:rsid w:val="00077523"/>
    <w:rsid w:val="00081673"/>
    <w:rsid w:val="00085316"/>
    <w:rsid w:val="0008682E"/>
    <w:rsid w:val="00086C0A"/>
    <w:rsid w:val="00096A60"/>
    <w:rsid w:val="000C0500"/>
    <w:rsid w:val="000C089F"/>
    <w:rsid w:val="000C3928"/>
    <w:rsid w:val="000C3D74"/>
    <w:rsid w:val="000C5E8E"/>
    <w:rsid w:val="000F4751"/>
    <w:rsid w:val="000F507F"/>
    <w:rsid w:val="0010524C"/>
    <w:rsid w:val="00111FB1"/>
    <w:rsid w:val="00113070"/>
    <w:rsid w:val="00113418"/>
    <w:rsid w:val="00125E0D"/>
    <w:rsid w:val="00127227"/>
    <w:rsid w:val="001356F1"/>
    <w:rsid w:val="00136994"/>
    <w:rsid w:val="0014128E"/>
    <w:rsid w:val="00143C77"/>
    <w:rsid w:val="00151888"/>
    <w:rsid w:val="00170A2D"/>
    <w:rsid w:val="001808BC"/>
    <w:rsid w:val="00182B81"/>
    <w:rsid w:val="0018619D"/>
    <w:rsid w:val="001A011E"/>
    <w:rsid w:val="001A066A"/>
    <w:rsid w:val="001A13E6"/>
    <w:rsid w:val="001A5731"/>
    <w:rsid w:val="001B1DC5"/>
    <w:rsid w:val="001B42C3"/>
    <w:rsid w:val="001C5D5E"/>
    <w:rsid w:val="001D586A"/>
    <w:rsid w:val="001D678D"/>
    <w:rsid w:val="001E03F8"/>
    <w:rsid w:val="001E3376"/>
    <w:rsid w:val="001F64C2"/>
    <w:rsid w:val="00200972"/>
    <w:rsid w:val="0020230C"/>
    <w:rsid w:val="002069B3"/>
    <w:rsid w:val="002329CF"/>
    <w:rsid w:val="00232F5B"/>
    <w:rsid w:val="00240D65"/>
    <w:rsid w:val="00244B5A"/>
    <w:rsid w:val="00247C29"/>
    <w:rsid w:val="002558AA"/>
    <w:rsid w:val="00260467"/>
    <w:rsid w:val="00262011"/>
    <w:rsid w:val="00263EA3"/>
    <w:rsid w:val="00275E79"/>
    <w:rsid w:val="00284F85"/>
    <w:rsid w:val="00290915"/>
    <w:rsid w:val="00291BC1"/>
    <w:rsid w:val="00291CC3"/>
    <w:rsid w:val="002978A2"/>
    <w:rsid w:val="002A22E2"/>
    <w:rsid w:val="002A68B2"/>
    <w:rsid w:val="002A7655"/>
    <w:rsid w:val="002C29AC"/>
    <w:rsid w:val="002C64F7"/>
    <w:rsid w:val="002E6684"/>
    <w:rsid w:val="002F1DF8"/>
    <w:rsid w:val="002F2AEE"/>
    <w:rsid w:val="002F41F2"/>
    <w:rsid w:val="002F59B3"/>
    <w:rsid w:val="00301BF3"/>
    <w:rsid w:val="0030208D"/>
    <w:rsid w:val="003113A2"/>
    <w:rsid w:val="003142D7"/>
    <w:rsid w:val="003144B2"/>
    <w:rsid w:val="00323418"/>
    <w:rsid w:val="003357BF"/>
    <w:rsid w:val="00340838"/>
    <w:rsid w:val="00340A41"/>
    <w:rsid w:val="003438EE"/>
    <w:rsid w:val="00343A97"/>
    <w:rsid w:val="00364FAD"/>
    <w:rsid w:val="0036738F"/>
    <w:rsid w:val="0036759C"/>
    <w:rsid w:val="00367AE5"/>
    <w:rsid w:val="00367D71"/>
    <w:rsid w:val="00372667"/>
    <w:rsid w:val="00375DA7"/>
    <w:rsid w:val="0038150A"/>
    <w:rsid w:val="00381956"/>
    <w:rsid w:val="0039227C"/>
    <w:rsid w:val="003A327A"/>
    <w:rsid w:val="003B2BD9"/>
    <w:rsid w:val="003B6E75"/>
    <w:rsid w:val="003D0379"/>
    <w:rsid w:val="003D2574"/>
    <w:rsid w:val="003D4C59"/>
    <w:rsid w:val="003E11C9"/>
    <w:rsid w:val="003F4267"/>
    <w:rsid w:val="00404032"/>
    <w:rsid w:val="00404DC0"/>
    <w:rsid w:val="00405F70"/>
    <w:rsid w:val="0040736F"/>
    <w:rsid w:val="00412C1F"/>
    <w:rsid w:val="00415D64"/>
    <w:rsid w:val="00421CB2"/>
    <w:rsid w:val="00425F63"/>
    <w:rsid w:val="004268B9"/>
    <w:rsid w:val="00433B96"/>
    <w:rsid w:val="00443DF5"/>
    <w:rsid w:val="004440F1"/>
    <w:rsid w:val="004456DD"/>
    <w:rsid w:val="00446CDF"/>
    <w:rsid w:val="004521B7"/>
    <w:rsid w:val="00457108"/>
    <w:rsid w:val="00462AB5"/>
    <w:rsid w:val="00465EAF"/>
    <w:rsid w:val="00470E51"/>
    <w:rsid w:val="004738C5"/>
    <w:rsid w:val="004866F9"/>
    <w:rsid w:val="00491046"/>
    <w:rsid w:val="00496FAD"/>
    <w:rsid w:val="004A2AC7"/>
    <w:rsid w:val="004A3058"/>
    <w:rsid w:val="004A5337"/>
    <w:rsid w:val="004A6D2F"/>
    <w:rsid w:val="004B348B"/>
    <w:rsid w:val="004C2887"/>
    <w:rsid w:val="004C66C9"/>
    <w:rsid w:val="004C6B6F"/>
    <w:rsid w:val="004D2626"/>
    <w:rsid w:val="004D6E26"/>
    <w:rsid w:val="004D77D3"/>
    <w:rsid w:val="004E2959"/>
    <w:rsid w:val="004E3CB9"/>
    <w:rsid w:val="004F20EF"/>
    <w:rsid w:val="0050321C"/>
    <w:rsid w:val="005352F8"/>
    <w:rsid w:val="005429A7"/>
    <w:rsid w:val="00546186"/>
    <w:rsid w:val="0054712D"/>
    <w:rsid w:val="00547EF6"/>
    <w:rsid w:val="00554BA2"/>
    <w:rsid w:val="005570B5"/>
    <w:rsid w:val="005629D6"/>
    <w:rsid w:val="00567E18"/>
    <w:rsid w:val="0057245F"/>
    <w:rsid w:val="00575F5F"/>
    <w:rsid w:val="00581805"/>
    <w:rsid w:val="00585F76"/>
    <w:rsid w:val="00587AEC"/>
    <w:rsid w:val="00593E88"/>
    <w:rsid w:val="005A2220"/>
    <w:rsid w:val="005A34E4"/>
    <w:rsid w:val="005A4E76"/>
    <w:rsid w:val="005B17F2"/>
    <w:rsid w:val="005B5C86"/>
    <w:rsid w:val="005B7150"/>
    <w:rsid w:val="005B7FB0"/>
    <w:rsid w:val="005C2016"/>
    <w:rsid w:val="005C35A5"/>
    <w:rsid w:val="005C577C"/>
    <w:rsid w:val="005D0621"/>
    <w:rsid w:val="005D18A1"/>
    <w:rsid w:val="005D1E27"/>
    <w:rsid w:val="005E022E"/>
    <w:rsid w:val="005E5215"/>
    <w:rsid w:val="005F7F7E"/>
    <w:rsid w:val="00614693"/>
    <w:rsid w:val="00623C2F"/>
    <w:rsid w:val="00632A88"/>
    <w:rsid w:val="00633578"/>
    <w:rsid w:val="00637068"/>
    <w:rsid w:val="00650811"/>
    <w:rsid w:val="00661D3E"/>
    <w:rsid w:val="00671CB7"/>
    <w:rsid w:val="00692627"/>
    <w:rsid w:val="006942A5"/>
    <w:rsid w:val="00696645"/>
    <w:rsid w:val="006969E7"/>
    <w:rsid w:val="006A156A"/>
    <w:rsid w:val="006A3643"/>
    <w:rsid w:val="006B13B3"/>
    <w:rsid w:val="006B51DF"/>
    <w:rsid w:val="006B53C5"/>
    <w:rsid w:val="006C140D"/>
    <w:rsid w:val="006C2A29"/>
    <w:rsid w:val="006C64CF"/>
    <w:rsid w:val="006D17B1"/>
    <w:rsid w:val="006D708A"/>
    <w:rsid w:val="006E14C1"/>
    <w:rsid w:val="006E3A55"/>
    <w:rsid w:val="006E60B3"/>
    <w:rsid w:val="006F0292"/>
    <w:rsid w:val="006F1CD2"/>
    <w:rsid w:val="006F416B"/>
    <w:rsid w:val="006F519B"/>
    <w:rsid w:val="006F7AF0"/>
    <w:rsid w:val="00713675"/>
    <w:rsid w:val="00715823"/>
    <w:rsid w:val="0071710D"/>
    <w:rsid w:val="00737B93"/>
    <w:rsid w:val="00742011"/>
    <w:rsid w:val="00745BF0"/>
    <w:rsid w:val="00757AF8"/>
    <w:rsid w:val="007615FE"/>
    <w:rsid w:val="0076655C"/>
    <w:rsid w:val="007702BA"/>
    <w:rsid w:val="007742DC"/>
    <w:rsid w:val="00786331"/>
    <w:rsid w:val="00791437"/>
    <w:rsid w:val="007A143B"/>
    <w:rsid w:val="007A381E"/>
    <w:rsid w:val="007B0C2C"/>
    <w:rsid w:val="007B278E"/>
    <w:rsid w:val="007C04F7"/>
    <w:rsid w:val="007C1201"/>
    <w:rsid w:val="007C5C23"/>
    <w:rsid w:val="007D3153"/>
    <w:rsid w:val="007E2A26"/>
    <w:rsid w:val="007E7424"/>
    <w:rsid w:val="007F2348"/>
    <w:rsid w:val="00803F07"/>
    <w:rsid w:val="0080749A"/>
    <w:rsid w:val="008115D5"/>
    <w:rsid w:val="00816624"/>
    <w:rsid w:val="00821AAF"/>
    <w:rsid w:val="00821FB8"/>
    <w:rsid w:val="00822ACD"/>
    <w:rsid w:val="0083032F"/>
    <w:rsid w:val="00850D6F"/>
    <w:rsid w:val="00851285"/>
    <w:rsid w:val="008515F3"/>
    <w:rsid w:val="00854548"/>
    <w:rsid w:val="00855C66"/>
    <w:rsid w:val="00861170"/>
    <w:rsid w:val="00871EE4"/>
    <w:rsid w:val="00893F1F"/>
    <w:rsid w:val="008968A0"/>
    <w:rsid w:val="00896FB7"/>
    <w:rsid w:val="008A1293"/>
    <w:rsid w:val="008B293F"/>
    <w:rsid w:val="008B4A41"/>
    <w:rsid w:val="008B7371"/>
    <w:rsid w:val="008C7F51"/>
    <w:rsid w:val="008D3DDB"/>
    <w:rsid w:val="008F573F"/>
    <w:rsid w:val="009034EC"/>
    <w:rsid w:val="00906BD8"/>
    <w:rsid w:val="0091077C"/>
    <w:rsid w:val="0093067A"/>
    <w:rsid w:val="00941C60"/>
    <w:rsid w:val="00954695"/>
    <w:rsid w:val="0095566B"/>
    <w:rsid w:val="00966D42"/>
    <w:rsid w:val="00971689"/>
    <w:rsid w:val="00973E90"/>
    <w:rsid w:val="00975B07"/>
    <w:rsid w:val="00980B4A"/>
    <w:rsid w:val="00994692"/>
    <w:rsid w:val="009B1263"/>
    <w:rsid w:val="009B4032"/>
    <w:rsid w:val="009B6B57"/>
    <w:rsid w:val="009C694E"/>
    <w:rsid w:val="009D32B1"/>
    <w:rsid w:val="009D7F90"/>
    <w:rsid w:val="009E2F02"/>
    <w:rsid w:val="009E3D0A"/>
    <w:rsid w:val="009E51FC"/>
    <w:rsid w:val="009F1D28"/>
    <w:rsid w:val="009F4FA8"/>
    <w:rsid w:val="009F7618"/>
    <w:rsid w:val="00A04D23"/>
    <w:rsid w:val="00A06766"/>
    <w:rsid w:val="00A12F26"/>
    <w:rsid w:val="00A13765"/>
    <w:rsid w:val="00A21B12"/>
    <w:rsid w:val="00A23F80"/>
    <w:rsid w:val="00A26C84"/>
    <w:rsid w:val="00A3554E"/>
    <w:rsid w:val="00A4076C"/>
    <w:rsid w:val="00A44635"/>
    <w:rsid w:val="00A45BDA"/>
    <w:rsid w:val="00A46E98"/>
    <w:rsid w:val="00A50798"/>
    <w:rsid w:val="00A603BB"/>
    <w:rsid w:val="00A6352B"/>
    <w:rsid w:val="00A701B5"/>
    <w:rsid w:val="00A714BB"/>
    <w:rsid w:val="00A83B42"/>
    <w:rsid w:val="00A86A90"/>
    <w:rsid w:val="00A92D8F"/>
    <w:rsid w:val="00AA378B"/>
    <w:rsid w:val="00AB2988"/>
    <w:rsid w:val="00AB39E2"/>
    <w:rsid w:val="00AB7999"/>
    <w:rsid w:val="00AD3292"/>
    <w:rsid w:val="00AE7AF0"/>
    <w:rsid w:val="00AF3BA6"/>
    <w:rsid w:val="00AF7791"/>
    <w:rsid w:val="00B04570"/>
    <w:rsid w:val="00B06D7B"/>
    <w:rsid w:val="00B13143"/>
    <w:rsid w:val="00B148F9"/>
    <w:rsid w:val="00B37625"/>
    <w:rsid w:val="00B500CA"/>
    <w:rsid w:val="00B54C9E"/>
    <w:rsid w:val="00B558E1"/>
    <w:rsid w:val="00B57F31"/>
    <w:rsid w:val="00B759D4"/>
    <w:rsid w:val="00B7799F"/>
    <w:rsid w:val="00B86314"/>
    <w:rsid w:val="00B9347F"/>
    <w:rsid w:val="00BA1C2E"/>
    <w:rsid w:val="00BA5A52"/>
    <w:rsid w:val="00BC200B"/>
    <w:rsid w:val="00BC4756"/>
    <w:rsid w:val="00BC69A4"/>
    <w:rsid w:val="00BE0680"/>
    <w:rsid w:val="00BE305F"/>
    <w:rsid w:val="00BE7BA3"/>
    <w:rsid w:val="00BF1377"/>
    <w:rsid w:val="00BF5682"/>
    <w:rsid w:val="00BF7B09"/>
    <w:rsid w:val="00C0541B"/>
    <w:rsid w:val="00C20A95"/>
    <w:rsid w:val="00C2323E"/>
    <w:rsid w:val="00C249C2"/>
    <w:rsid w:val="00C2692F"/>
    <w:rsid w:val="00C3207C"/>
    <w:rsid w:val="00C400E1"/>
    <w:rsid w:val="00C41187"/>
    <w:rsid w:val="00C42476"/>
    <w:rsid w:val="00C63C31"/>
    <w:rsid w:val="00C66C05"/>
    <w:rsid w:val="00C677C2"/>
    <w:rsid w:val="00C757A0"/>
    <w:rsid w:val="00C760DE"/>
    <w:rsid w:val="00C82630"/>
    <w:rsid w:val="00C85B4E"/>
    <w:rsid w:val="00C907F7"/>
    <w:rsid w:val="00CA2103"/>
    <w:rsid w:val="00CB0535"/>
    <w:rsid w:val="00CB6B99"/>
    <w:rsid w:val="00CD235E"/>
    <w:rsid w:val="00CE02B6"/>
    <w:rsid w:val="00CE4C87"/>
    <w:rsid w:val="00CE544A"/>
    <w:rsid w:val="00D0227B"/>
    <w:rsid w:val="00D1064E"/>
    <w:rsid w:val="00D11E1C"/>
    <w:rsid w:val="00D160B0"/>
    <w:rsid w:val="00D17F94"/>
    <w:rsid w:val="00D223FC"/>
    <w:rsid w:val="00D242CC"/>
    <w:rsid w:val="00D26D1E"/>
    <w:rsid w:val="00D33122"/>
    <w:rsid w:val="00D474CF"/>
    <w:rsid w:val="00D53610"/>
    <w:rsid w:val="00D5547E"/>
    <w:rsid w:val="00D6683E"/>
    <w:rsid w:val="00D90077"/>
    <w:rsid w:val="00D90A28"/>
    <w:rsid w:val="00DA413F"/>
    <w:rsid w:val="00DA4584"/>
    <w:rsid w:val="00DA614B"/>
    <w:rsid w:val="00DB3FA9"/>
    <w:rsid w:val="00DB60B0"/>
    <w:rsid w:val="00DB72E9"/>
    <w:rsid w:val="00DC22E4"/>
    <w:rsid w:val="00DC3060"/>
    <w:rsid w:val="00DD2FED"/>
    <w:rsid w:val="00DD5636"/>
    <w:rsid w:val="00DE0FB2"/>
    <w:rsid w:val="00DF093E"/>
    <w:rsid w:val="00E01F42"/>
    <w:rsid w:val="00E14793"/>
    <w:rsid w:val="00E206D6"/>
    <w:rsid w:val="00E21BF3"/>
    <w:rsid w:val="00E33416"/>
    <w:rsid w:val="00E3366E"/>
    <w:rsid w:val="00E52086"/>
    <w:rsid w:val="00E52920"/>
    <w:rsid w:val="00E543A6"/>
    <w:rsid w:val="00E60479"/>
    <w:rsid w:val="00E61D73"/>
    <w:rsid w:val="00E67E2E"/>
    <w:rsid w:val="00E73684"/>
    <w:rsid w:val="00E818D6"/>
    <w:rsid w:val="00E83A64"/>
    <w:rsid w:val="00E84022"/>
    <w:rsid w:val="00E87F7A"/>
    <w:rsid w:val="00E95944"/>
    <w:rsid w:val="00E96BD7"/>
    <w:rsid w:val="00EA0DB1"/>
    <w:rsid w:val="00EA0EE9"/>
    <w:rsid w:val="00EB2D74"/>
    <w:rsid w:val="00EB5087"/>
    <w:rsid w:val="00EC4F79"/>
    <w:rsid w:val="00ED52CA"/>
    <w:rsid w:val="00ED5860"/>
    <w:rsid w:val="00ED5A77"/>
    <w:rsid w:val="00EE35C9"/>
    <w:rsid w:val="00EE7A0D"/>
    <w:rsid w:val="00EF3F80"/>
    <w:rsid w:val="00EF6F9A"/>
    <w:rsid w:val="00F00DE8"/>
    <w:rsid w:val="00F05ECA"/>
    <w:rsid w:val="00F16C45"/>
    <w:rsid w:val="00F22C2B"/>
    <w:rsid w:val="00F3566E"/>
    <w:rsid w:val="00F35889"/>
    <w:rsid w:val="00F375FB"/>
    <w:rsid w:val="00F41AC1"/>
    <w:rsid w:val="00F4367A"/>
    <w:rsid w:val="00F445B1"/>
    <w:rsid w:val="00F45CD4"/>
    <w:rsid w:val="00F66DCA"/>
    <w:rsid w:val="00F74F53"/>
    <w:rsid w:val="00F7606D"/>
    <w:rsid w:val="00F81670"/>
    <w:rsid w:val="00F82024"/>
    <w:rsid w:val="00F84A65"/>
    <w:rsid w:val="00F86316"/>
    <w:rsid w:val="00F913EC"/>
    <w:rsid w:val="00F95BC9"/>
    <w:rsid w:val="00FA026E"/>
    <w:rsid w:val="00FA624C"/>
    <w:rsid w:val="00FB3372"/>
    <w:rsid w:val="00FB66F0"/>
    <w:rsid w:val="00FC3061"/>
    <w:rsid w:val="00FD0FAC"/>
    <w:rsid w:val="00FD1BFD"/>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502"/>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117550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221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sh@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db8f1d2-729e-4e17-b922-d1876d49c6d9"/>
    <ds:schemaRef ds:uri="http://www.w3.org/XML/1998/namespace"/>
    <ds:schemaRef ds:uri="http://purl.org/dc/elements/1.1/"/>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45B63-08CC-42EC-A011-0F7CA62D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1A7D7527</Template>
  <TotalTime>39</TotalTime>
  <Pages>7</Pages>
  <Words>2123</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COURTNEY Alice</cp:lastModifiedBy>
  <cp:revision>5</cp:revision>
  <cp:lastPrinted>2015-07-03T12:50:00Z</cp:lastPrinted>
  <dcterms:created xsi:type="dcterms:W3CDTF">2022-03-31T08:07:00Z</dcterms:created>
  <dcterms:modified xsi:type="dcterms:W3CDTF">2022-03-31T10:10:00Z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